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38C0E" w14:textId="77777777" w:rsidR="00F2418D" w:rsidRDefault="00F2418D" w:rsidP="00F2418D">
      <w:pPr>
        <w:spacing w:after="0" w:line="240" w:lineRule="auto"/>
        <w:rPr>
          <w:sz w:val="20"/>
          <w:szCs w:val="20"/>
          <w:lang w:val="es-ES"/>
        </w:rPr>
      </w:pPr>
    </w:p>
    <w:p w14:paraId="0B274F1A" w14:textId="474D55F0" w:rsidR="00EC20E1" w:rsidRDefault="00EC20E1" w:rsidP="00EC20E1">
      <w:pPr>
        <w:spacing w:after="0" w:line="240" w:lineRule="auto"/>
        <w:rPr>
          <w:rFonts w:ascii="Arial" w:hAnsi="Arial" w:cs="Arial"/>
        </w:rPr>
      </w:pPr>
      <w:r>
        <w:rPr>
          <w:rFonts w:ascii="Arial" w:hAnsi="Arial" w:cs="Arial"/>
        </w:rPr>
        <w:t xml:space="preserve">La </w:t>
      </w:r>
      <w:r w:rsidRPr="00552797">
        <w:rPr>
          <w:rFonts w:ascii="Arial" w:hAnsi="Arial" w:cs="Arial"/>
        </w:rPr>
        <w:t>suscrit</w:t>
      </w:r>
      <w:r>
        <w:rPr>
          <w:rFonts w:ascii="Arial" w:hAnsi="Arial" w:cs="Arial"/>
        </w:rPr>
        <w:t>a</w:t>
      </w:r>
      <w:r w:rsidRPr="00552797">
        <w:rPr>
          <w:rFonts w:ascii="Arial" w:hAnsi="Arial" w:cs="Arial"/>
        </w:rPr>
        <w:t xml:space="preserve"> Subsecretari</w:t>
      </w:r>
      <w:r>
        <w:rPr>
          <w:rFonts w:ascii="Arial" w:hAnsi="Arial" w:cs="Arial"/>
        </w:rPr>
        <w:t>a</w:t>
      </w:r>
      <w:r w:rsidRPr="00552797">
        <w:rPr>
          <w:rFonts w:ascii="Arial" w:hAnsi="Arial" w:cs="Arial"/>
        </w:rPr>
        <w:t xml:space="preserve"> de </w:t>
      </w:r>
      <w:r>
        <w:rPr>
          <w:rFonts w:ascii="Arial" w:hAnsi="Arial" w:cs="Arial"/>
        </w:rPr>
        <w:t xml:space="preserve">Gestión Corporativa delegada según resolución </w:t>
      </w:r>
      <w:r w:rsidR="009954C4">
        <w:rPr>
          <w:rFonts w:ascii="Arial" w:hAnsi="Arial" w:cs="Arial"/>
        </w:rPr>
        <w:t>187</w:t>
      </w:r>
      <w:r>
        <w:rPr>
          <w:rFonts w:ascii="Arial" w:hAnsi="Arial" w:cs="Arial"/>
        </w:rPr>
        <w:t xml:space="preserve"> del </w:t>
      </w:r>
      <w:r w:rsidR="0083300A">
        <w:rPr>
          <w:rFonts w:ascii="Arial" w:hAnsi="Arial" w:cs="Arial"/>
        </w:rPr>
        <w:t>26</w:t>
      </w:r>
      <w:r>
        <w:rPr>
          <w:rFonts w:ascii="Arial" w:hAnsi="Arial" w:cs="Arial"/>
        </w:rPr>
        <w:t>-</w:t>
      </w:r>
      <w:r w:rsidR="009954C4">
        <w:rPr>
          <w:rFonts w:ascii="Arial" w:hAnsi="Arial" w:cs="Arial"/>
        </w:rPr>
        <w:t>03</w:t>
      </w:r>
      <w:r>
        <w:rPr>
          <w:rFonts w:ascii="Arial" w:hAnsi="Arial" w:cs="Arial"/>
        </w:rPr>
        <w:t xml:space="preserve">-2024, </w:t>
      </w:r>
      <w:r w:rsidRPr="00552797">
        <w:rPr>
          <w:rFonts w:ascii="Arial" w:hAnsi="Arial" w:cs="Arial"/>
        </w:rPr>
        <w:t xml:space="preserve">para </w:t>
      </w:r>
      <w:r>
        <w:rPr>
          <w:rFonts w:ascii="Arial" w:hAnsi="Arial" w:cs="Arial"/>
        </w:rPr>
        <w:t>adelantar la realización de las actuaciones administrativas sancionatorias, se pronuncia respecto de las manifestaciones realizadas por el contratista en cuanto a la verificación de algunas irregularidades en el marco del proceso sancionatorio.</w:t>
      </w:r>
    </w:p>
    <w:p w14:paraId="24ABEA62" w14:textId="77777777" w:rsidR="00EC20E1" w:rsidRDefault="00EC20E1" w:rsidP="00EC20E1">
      <w:pPr>
        <w:spacing w:after="0" w:line="240" w:lineRule="auto"/>
        <w:rPr>
          <w:rFonts w:ascii="Arial" w:hAnsi="Arial" w:cs="Arial"/>
        </w:rPr>
      </w:pPr>
    </w:p>
    <w:p w14:paraId="568D6718" w14:textId="7DE90585" w:rsidR="00EC20E1" w:rsidRDefault="00EC20E1" w:rsidP="00EC20E1">
      <w:pPr>
        <w:spacing w:after="0" w:line="240" w:lineRule="auto"/>
        <w:rPr>
          <w:rFonts w:ascii="Arial" w:hAnsi="Arial" w:cs="Arial"/>
        </w:rPr>
      </w:pPr>
      <w:r>
        <w:rPr>
          <w:rFonts w:ascii="Arial" w:hAnsi="Arial" w:cs="Arial"/>
        </w:rPr>
        <w:t xml:space="preserve">Por lo anterior, se responderá de la siguiente manera: </w:t>
      </w:r>
    </w:p>
    <w:p w14:paraId="20A69B02" w14:textId="77777777" w:rsidR="00EC20E1" w:rsidRDefault="00EC20E1" w:rsidP="00F2418D">
      <w:pPr>
        <w:spacing w:after="0" w:line="240" w:lineRule="auto"/>
        <w:rPr>
          <w:sz w:val="20"/>
          <w:szCs w:val="20"/>
          <w:lang w:val="es-ES"/>
        </w:rPr>
      </w:pPr>
    </w:p>
    <w:p w14:paraId="3D30C077" w14:textId="6415B270" w:rsidR="00F2418D" w:rsidRPr="00F2418D" w:rsidRDefault="001E2A8A" w:rsidP="00F2418D">
      <w:pPr>
        <w:pStyle w:val="Prrafodelista"/>
        <w:numPr>
          <w:ilvl w:val="0"/>
          <w:numId w:val="1"/>
        </w:numPr>
        <w:spacing w:after="0" w:line="240" w:lineRule="auto"/>
        <w:rPr>
          <w:sz w:val="20"/>
          <w:szCs w:val="20"/>
          <w:lang w:val="es-ES"/>
        </w:rPr>
      </w:pPr>
      <w:r>
        <w:rPr>
          <w:rFonts w:ascii="Arial" w:hAnsi="Arial" w:cs="Arial"/>
          <w:b/>
          <w:bCs/>
          <w:color w:val="000000" w:themeColor="text1"/>
          <w:lang w:val="es-ES"/>
        </w:rPr>
        <w:t xml:space="preserve">Respecto </w:t>
      </w:r>
      <w:r w:rsidR="009954C4">
        <w:rPr>
          <w:rFonts w:ascii="Arial" w:hAnsi="Arial" w:cs="Arial"/>
          <w:b/>
          <w:bCs/>
          <w:color w:val="000000" w:themeColor="text1"/>
          <w:lang w:val="es-ES"/>
        </w:rPr>
        <w:t>del recurso de reposición y en subsidio de apelación interpuesto contra el auto que decisión pruebas</w:t>
      </w:r>
      <w:r>
        <w:rPr>
          <w:rFonts w:ascii="Arial" w:hAnsi="Arial" w:cs="Arial"/>
          <w:b/>
          <w:bCs/>
          <w:color w:val="000000" w:themeColor="text1"/>
          <w:lang w:val="es-ES"/>
        </w:rPr>
        <w:t xml:space="preserve">. </w:t>
      </w:r>
    </w:p>
    <w:p w14:paraId="7C27483C" w14:textId="77777777" w:rsidR="00F2418D" w:rsidRPr="00F2418D" w:rsidRDefault="00F2418D" w:rsidP="00F2418D">
      <w:pPr>
        <w:spacing w:after="0" w:line="240" w:lineRule="auto"/>
        <w:ind w:left="360"/>
        <w:rPr>
          <w:sz w:val="20"/>
          <w:szCs w:val="20"/>
          <w:lang w:val="es-ES"/>
        </w:rPr>
      </w:pPr>
    </w:p>
    <w:p w14:paraId="5F135D79" w14:textId="3088DFA9" w:rsidR="00F4584E" w:rsidRDefault="0083300A" w:rsidP="00C03A42">
      <w:pPr>
        <w:spacing w:after="0" w:line="240" w:lineRule="auto"/>
        <w:jc w:val="both"/>
        <w:rPr>
          <w:rFonts w:ascii="Arial" w:hAnsi="Arial" w:cs="Arial"/>
          <w:color w:val="000000" w:themeColor="text1"/>
          <w:lang w:val="es-ES"/>
        </w:rPr>
      </w:pPr>
      <w:r>
        <w:rPr>
          <w:rFonts w:ascii="Arial" w:hAnsi="Arial" w:cs="Arial"/>
          <w:color w:val="000000" w:themeColor="text1"/>
          <w:lang w:val="es-ES"/>
        </w:rPr>
        <w:t>El</w:t>
      </w:r>
      <w:r w:rsidR="00F2418D" w:rsidRPr="00F72EDE">
        <w:rPr>
          <w:rFonts w:ascii="Arial" w:hAnsi="Arial" w:cs="Arial"/>
          <w:color w:val="000000" w:themeColor="text1"/>
          <w:lang w:val="es-ES"/>
        </w:rPr>
        <w:t xml:space="preserve"> contratista </w:t>
      </w:r>
      <w:r w:rsidR="00C03A42">
        <w:rPr>
          <w:rFonts w:ascii="Arial" w:hAnsi="Arial" w:cs="Arial"/>
          <w:color w:val="000000" w:themeColor="text1"/>
          <w:lang w:val="es-ES"/>
        </w:rPr>
        <w:t>interpone recurso de reposición y en subsidio de apelación ontra la decisión proferida por la SDHT respecto del decreto de pruebas, en sesión No. 5 del 3 d abril de 2025, que se resume de la siguiente manera</w:t>
      </w:r>
      <w:r w:rsidR="00F2418D" w:rsidRPr="00F72EDE">
        <w:rPr>
          <w:rStyle w:val="Refdenotaalpie"/>
          <w:rFonts w:ascii="Arial" w:hAnsi="Arial" w:cs="Arial"/>
          <w:color w:val="000000" w:themeColor="text1"/>
          <w:lang w:val="es-ES"/>
        </w:rPr>
        <w:footnoteReference w:id="1"/>
      </w:r>
      <w:r w:rsidR="00C03A42">
        <w:rPr>
          <w:rFonts w:ascii="Arial" w:hAnsi="Arial" w:cs="Arial"/>
          <w:color w:val="000000" w:themeColor="text1"/>
          <w:lang w:val="es-ES"/>
        </w:rPr>
        <w:t>:</w:t>
      </w:r>
      <w:r w:rsidR="00F2418D" w:rsidRPr="00F72EDE">
        <w:rPr>
          <w:rFonts w:ascii="Arial" w:hAnsi="Arial" w:cs="Arial"/>
          <w:color w:val="000000" w:themeColor="text1"/>
          <w:lang w:val="es-ES"/>
        </w:rPr>
        <w:t xml:space="preserve"> </w:t>
      </w:r>
      <w:r w:rsidR="009954C4">
        <w:rPr>
          <w:rFonts w:ascii="Arial" w:hAnsi="Arial" w:cs="Arial"/>
          <w:color w:val="000000" w:themeColor="text1"/>
          <w:lang w:val="es-ES"/>
        </w:rPr>
        <w:t xml:space="preserve"> </w:t>
      </w:r>
    </w:p>
    <w:p w14:paraId="1FB12571" w14:textId="246B64C6" w:rsidR="00C03A42" w:rsidRDefault="00C03A42" w:rsidP="00C03A42">
      <w:pPr>
        <w:spacing w:after="0" w:line="240" w:lineRule="auto"/>
        <w:jc w:val="both"/>
        <w:rPr>
          <w:rFonts w:ascii="Arial" w:hAnsi="Arial" w:cs="Arial"/>
          <w:color w:val="000000" w:themeColor="text1"/>
        </w:rPr>
      </w:pPr>
    </w:p>
    <w:p w14:paraId="4B64F5D4" w14:textId="77777777" w:rsidR="00C03A42" w:rsidRPr="00C03A42"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t>“(…) q</w:t>
      </w:r>
      <w:r w:rsidRPr="00C03A42">
        <w:rPr>
          <w:rFonts w:ascii="Arial" w:eastAsia="Segoe UI" w:hAnsi="Arial" w:cs="Arial"/>
          <w:i/>
          <w:iCs/>
          <w:color w:val="323130"/>
          <w:sz w:val="20"/>
          <w:szCs w:val="20"/>
        </w:rPr>
        <w:t>uiero interponer recursos contra el auto</w:t>
      </w:r>
      <w:r w:rsidRPr="00C03A42">
        <w:rPr>
          <w:rFonts w:ascii="Arial" w:eastAsia="Segoe UI" w:hAnsi="Arial" w:cs="Arial"/>
          <w:i/>
          <w:iCs/>
          <w:color w:val="323130"/>
          <w:sz w:val="20"/>
          <w:szCs w:val="20"/>
        </w:rPr>
        <w:t xml:space="preserve"> c</w:t>
      </w:r>
      <w:r w:rsidRPr="00C03A42">
        <w:rPr>
          <w:rFonts w:ascii="Arial" w:eastAsia="Segoe UI" w:hAnsi="Arial" w:cs="Arial"/>
          <w:i/>
          <w:iCs/>
          <w:color w:val="323130"/>
          <w:sz w:val="20"/>
          <w:szCs w:val="20"/>
        </w:rPr>
        <w:t>on fundamento</w:t>
      </w:r>
      <w:r w:rsidRPr="00C03A42">
        <w:rPr>
          <w:rFonts w:ascii="Arial" w:eastAsia="Segoe UI" w:hAnsi="Arial" w:cs="Arial"/>
          <w:i/>
          <w:iCs/>
          <w:color w:val="323130"/>
          <w:sz w:val="20"/>
          <w:szCs w:val="20"/>
        </w:rPr>
        <w:t xml:space="preserve"> en el</w:t>
      </w:r>
      <w:r w:rsidRPr="00C03A42">
        <w:rPr>
          <w:rFonts w:ascii="Arial" w:eastAsia="Segoe UI" w:hAnsi="Arial" w:cs="Arial"/>
          <w:i/>
          <w:iCs/>
          <w:color w:val="323130"/>
          <w:sz w:val="20"/>
          <w:szCs w:val="20"/>
        </w:rPr>
        <w:t xml:space="preserve"> debido proceso</w:t>
      </w:r>
      <w:r w:rsidRPr="00C03A42">
        <w:rPr>
          <w:rFonts w:ascii="Arial" w:eastAsia="Segoe UI" w:hAnsi="Arial" w:cs="Arial"/>
          <w:i/>
          <w:iCs/>
          <w:color w:val="323130"/>
          <w:sz w:val="20"/>
          <w:szCs w:val="20"/>
        </w:rPr>
        <w:t xml:space="preserve">; </w:t>
      </w:r>
      <w:r w:rsidRPr="00C03A42">
        <w:rPr>
          <w:rFonts w:ascii="Arial" w:eastAsia="Segoe UI" w:hAnsi="Arial" w:cs="Arial"/>
          <w:i/>
          <w:iCs/>
          <w:color w:val="323130"/>
          <w:sz w:val="20"/>
          <w:szCs w:val="20"/>
        </w:rPr>
        <w:t>este es un proceso sancionatorio contractual regulado en el artículo 86 de la Ley 1474 del 2011 y el artículo 17 de la Ley 1150 del 2007</w:t>
      </w:r>
      <w:r w:rsidRPr="00C03A42">
        <w:rPr>
          <w:rFonts w:ascii="Arial" w:eastAsia="Segoe UI" w:hAnsi="Arial" w:cs="Arial"/>
          <w:i/>
          <w:iCs/>
          <w:color w:val="323130"/>
          <w:sz w:val="20"/>
          <w:szCs w:val="20"/>
        </w:rPr>
        <w:t xml:space="preserve">. En </w:t>
      </w:r>
      <w:r w:rsidRPr="00C03A42">
        <w:rPr>
          <w:rFonts w:ascii="Arial" w:eastAsia="Segoe UI" w:hAnsi="Arial" w:cs="Arial"/>
          <w:i/>
          <w:iCs/>
          <w:color w:val="323130"/>
          <w:sz w:val="20"/>
          <w:szCs w:val="20"/>
        </w:rPr>
        <w:t>virtud del artículo 47 de la Ley 1437 del 2011</w:t>
      </w:r>
      <w:r w:rsidRPr="00C03A42">
        <w:rPr>
          <w:rFonts w:ascii="Arial" w:eastAsia="Segoe UI" w:hAnsi="Arial" w:cs="Arial"/>
          <w:i/>
          <w:iCs/>
          <w:color w:val="323130"/>
          <w:sz w:val="20"/>
          <w:szCs w:val="20"/>
        </w:rPr>
        <w:t xml:space="preserve">, la cual </w:t>
      </w:r>
      <w:r w:rsidRPr="00C03A42">
        <w:rPr>
          <w:rFonts w:ascii="Arial" w:eastAsia="Segoe UI" w:hAnsi="Arial" w:cs="Arial"/>
          <w:i/>
          <w:iCs/>
          <w:color w:val="323130"/>
          <w:sz w:val="20"/>
          <w:szCs w:val="20"/>
        </w:rPr>
        <w:t>tuvo unas modificaciones a partir del artículo tercero de la Ley 2080 del 2020</w:t>
      </w:r>
      <w:r w:rsidRPr="00C03A42">
        <w:rPr>
          <w:rFonts w:ascii="Arial" w:eastAsia="Segoe UI" w:hAnsi="Arial" w:cs="Arial"/>
          <w:i/>
          <w:iCs/>
          <w:color w:val="323130"/>
          <w:sz w:val="20"/>
          <w:szCs w:val="20"/>
        </w:rPr>
        <w:t>, r</w:t>
      </w:r>
      <w:r w:rsidRPr="00C03A42">
        <w:rPr>
          <w:rFonts w:ascii="Arial" w:eastAsia="Segoe UI" w:hAnsi="Arial" w:cs="Arial"/>
          <w:i/>
          <w:iCs/>
          <w:color w:val="323130"/>
          <w:sz w:val="20"/>
          <w:szCs w:val="20"/>
        </w:rPr>
        <w:t>emit</w:t>
      </w:r>
      <w:r w:rsidRPr="00C03A42">
        <w:rPr>
          <w:rFonts w:ascii="Arial" w:eastAsia="Segoe UI" w:hAnsi="Arial" w:cs="Arial"/>
          <w:i/>
          <w:iCs/>
          <w:color w:val="323130"/>
          <w:sz w:val="20"/>
          <w:szCs w:val="20"/>
        </w:rPr>
        <w:t>e ap</w:t>
      </w:r>
      <w:r w:rsidRPr="00C03A42">
        <w:rPr>
          <w:rFonts w:ascii="Arial" w:eastAsia="Segoe UI" w:hAnsi="Arial" w:cs="Arial"/>
          <w:i/>
          <w:iCs/>
          <w:color w:val="323130"/>
          <w:sz w:val="20"/>
          <w:szCs w:val="20"/>
        </w:rPr>
        <w:t>licar normas tanto del Código General del Proceso como del Código procesal administrativo.</w:t>
      </w:r>
    </w:p>
    <w:p w14:paraId="220A6E91" w14:textId="054070E5" w:rsidR="00C03A42" w:rsidRPr="00C03A42"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br/>
        <w:t>Entonces hay que tener en cuenta que</w:t>
      </w:r>
      <w:r>
        <w:rPr>
          <w:rFonts w:ascii="Arial" w:eastAsia="Segoe UI" w:hAnsi="Arial" w:cs="Arial"/>
          <w:i/>
          <w:iCs/>
          <w:color w:val="323130"/>
          <w:sz w:val="20"/>
          <w:szCs w:val="20"/>
        </w:rPr>
        <w:t>,</w:t>
      </w:r>
      <w:r w:rsidRPr="00C03A42">
        <w:rPr>
          <w:rFonts w:ascii="Arial" w:eastAsia="Segoe UI" w:hAnsi="Arial" w:cs="Arial"/>
          <w:i/>
          <w:iCs/>
          <w:color w:val="323130"/>
          <w:sz w:val="20"/>
          <w:szCs w:val="20"/>
        </w:rPr>
        <w:t xml:space="preserve"> en un proceso sancionatorio contractual, pues el poder dominante la tiene la Secretaría de Hábitat, la parte vulnerable somos nosotros como contratistas, en el sentido de garantizar el debido proceso, al negar las pruebas a través de las cuales.</w:t>
      </w:r>
    </w:p>
    <w:p w14:paraId="4B8BDFD0" w14:textId="77777777" w:rsidR="00C03A42"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br/>
        <w:t>Queremos demostrar que no existe incumplimiento y en la medida que nos cerceen ese derecho, pues hay una afectación grave al debido proceso garantizado por un derecho fundamental, establece en el artículo 29 de la Constitución Política de Colombia. Es de tener en cuenta que el artículo 9 de la</w:t>
      </w:r>
      <w:r>
        <w:rPr>
          <w:rFonts w:ascii="Arial" w:eastAsia="Segoe UI" w:hAnsi="Arial" w:cs="Arial"/>
          <w:i/>
          <w:iCs/>
          <w:color w:val="323130"/>
          <w:sz w:val="20"/>
          <w:szCs w:val="20"/>
        </w:rPr>
        <w:t xml:space="preserve"> </w:t>
      </w:r>
      <w:r w:rsidRPr="00C03A42">
        <w:rPr>
          <w:rFonts w:ascii="Arial" w:eastAsia="Segoe UI" w:hAnsi="Arial" w:cs="Arial"/>
          <w:i/>
          <w:iCs/>
          <w:color w:val="323130"/>
          <w:sz w:val="20"/>
          <w:szCs w:val="20"/>
        </w:rPr>
        <w:t>Ley 1437 señala unas prohibiciones para las entidades administrativas como la Secretaría de Hábitat y el Numeral 14 señala expresamente que está prohibido</w:t>
      </w:r>
      <w:r w:rsidRPr="00C03A42">
        <w:rPr>
          <w:rFonts w:ascii="Arial" w:eastAsia="Segoe UI" w:hAnsi="Arial" w:cs="Arial"/>
          <w:i/>
          <w:iCs/>
          <w:color w:val="323130"/>
          <w:sz w:val="20"/>
          <w:szCs w:val="20"/>
        </w:rPr>
        <w:br/>
      </w:r>
      <w:r>
        <w:rPr>
          <w:rFonts w:ascii="Arial" w:eastAsia="Segoe UI" w:hAnsi="Arial" w:cs="Arial"/>
          <w:i/>
          <w:iCs/>
          <w:color w:val="323130"/>
          <w:sz w:val="20"/>
          <w:szCs w:val="20"/>
        </w:rPr>
        <w:t>n</w:t>
      </w:r>
      <w:r w:rsidRPr="00C03A42">
        <w:rPr>
          <w:rFonts w:ascii="Arial" w:eastAsia="Segoe UI" w:hAnsi="Arial" w:cs="Arial"/>
          <w:i/>
          <w:iCs/>
          <w:color w:val="323130"/>
          <w:sz w:val="20"/>
          <w:szCs w:val="20"/>
        </w:rPr>
        <w:t xml:space="preserve">o detectar las pruebas solicitadas en procedimientos administrativos, en este caso por remisión expresa del artículo 47 de la Ley 1437. </w:t>
      </w:r>
    </w:p>
    <w:p w14:paraId="787E06E3" w14:textId="77777777" w:rsidR="00C03A42" w:rsidRDefault="00C03A42" w:rsidP="00C03A42">
      <w:pPr>
        <w:spacing w:after="0" w:line="240" w:lineRule="auto"/>
        <w:ind w:left="360"/>
        <w:jc w:val="both"/>
        <w:rPr>
          <w:rFonts w:ascii="Arial" w:eastAsia="Segoe UI" w:hAnsi="Arial" w:cs="Arial"/>
          <w:i/>
          <w:iCs/>
          <w:color w:val="323130"/>
          <w:sz w:val="20"/>
          <w:szCs w:val="20"/>
        </w:rPr>
      </w:pPr>
    </w:p>
    <w:p w14:paraId="11317218" w14:textId="77777777" w:rsidR="00C03A42"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t>Es válido invocar el numeral 14 del artículo 9 y teniendo en cuenta que s</w:t>
      </w:r>
      <w:r>
        <w:rPr>
          <w:rFonts w:ascii="Arial" w:eastAsia="Segoe UI" w:hAnsi="Arial" w:cs="Arial"/>
          <w:i/>
          <w:iCs/>
          <w:color w:val="323130"/>
          <w:sz w:val="20"/>
          <w:szCs w:val="20"/>
        </w:rPr>
        <w:t>i</w:t>
      </w:r>
      <w:r w:rsidRPr="00C03A42">
        <w:rPr>
          <w:rFonts w:ascii="Arial" w:eastAsia="Segoe UI" w:hAnsi="Arial" w:cs="Arial"/>
          <w:i/>
          <w:iCs/>
          <w:color w:val="323130"/>
          <w:sz w:val="20"/>
          <w:szCs w:val="20"/>
        </w:rPr>
        <w:t xml:space="preserve"> bien es cierto el artículo 86 solamente estableció el recurso de reposición para la decisión que se tomara según el literal se del artículo 86 de la Ley 1474 del 2011. No tuvieron de presente que por</w:t>
      </w:r>
      <w:r w:rsidRPr="00C03A42">
        <w:rPr>
          <w:rFonts w:ascii="Arial" w:eastAsia="Segoe UI" w:hAnsi="Arial" w:cs="Arial"/>
          <w:i/>
          <w:iCs/>
          <w:color w:val="323130"/>
          <w:sz w:val="20"/>
          <w:szCs w:val="20"/>
        </w:rPr>
        <w:br/>
      </w:r>
      <w:r>
        <w:rPr>
          <w:rFonts w:ascii="Arial" w:eastAsia="Segoe UI" w:hAnsi="Arial" w:cs="Arial"/>
          <w:i/>
          <w:iCs/>
          <w:color w:val="323130"/>
          <w:sz w:val="20"/>
          <w:szCs w:val="20"/>
        </w:rPr>
        <w:t>r</w:t>
      </w:r>
      <w:r w:rsidRPr="00C03A42">
        <w:rPr>
          <w:rFonts w:ascii="Arial" w:eastAsia="Segoe UI" w:hAnsi="Arial" w:cs="Arial"/>
          <w:i/>
          <w:iCs/>
          <w:color w:val="323130"/>
          <w:sz w:val="20"/>
          <w:szCs w:val="20"/>
        </w:rPr>
        <w:t xml:space="preserve">emisión el auto que llega las pruebas proceden los recursos del artículo 79 de la Ley 1437 del 2011. </w:t>
      </w:r>
    </w:p>
    <w:p w14:paraId="6B192443" w14:textId="77777777" w:rsidR="00C03A42" w:rsidRDefault="00C03A42" w:rsidP="00C03A42">
      <w:pPr>
        <w:spacing w:after="0" w:line="240" w:lineRule="auto"/>
        <w:ind w:left="360"/>
        <w:jc w:val="both"/>
        <w:rPr>
          <w:rFonts w:ascii="Arial" w:eastAsia="Segoe UI" w:hAnsi="Arial" w:cs="Arial"/>
          <w:i/>
          <w:iCs/>
          <w:color w:val="323130"/>
          <w:sz w:val="20"/>
          <w:szCs w:val="20"/>
        </w:rPr>
      </w:pPr>
    </w:p>
    <w:p w14:paraId="1DCEABB0" w14:textId="77777777" w:rsidR="00C03A42"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t>Es necesario ver que el Consejo de Estado en diferentes autos y decisiones judiciales, pues teniendo en cuenta la decisión, no la</w:t>
      </w:r>
      <w:r>
        <w:rPr>
          <w:rFonts w:ascii="Arial" w:eastAsia="Segoe UI" w:hAnsi="Arial" w:cs="Arial"/>
          <w:i/>
          <w:iCs/>
          <w:color w:val="323130"/>
          <w:sz w:val="20"/>
          <w:szCs w:val="20"/>
        </w:rPr>
        <w:t xml:space="preserve"> p</w:t>
      </w:r>
      <w:r w:rsidRPr="00C03A42">
        <w:rPr>
          <w:rFonts w:ascii="Arial" w:eastAsia="Segoe UI" w:hAnsi="Arial" w:cs="Arial"/>
          <w:i/>
          <w:iCs/>
          <w:color w:val="323130"/>
          <w:sz w:val="20"/>
          <w:szCs w:val="20"/>
        </w:rPr>
        <w:t>uedo invocar en este momento, pero podría llegarlo posteriormente</w:t>
      </w:r>
      <w:r>
        <w:rPr>
          <w:rFonts w:ascii="Arial" w:eastAsia="Segoe UI" w:hAnsi="Arial" w:cs="Arial"/>
          <w:i/>
          <w:iCs/>
          <w:color w:val="323130"/>
          <w:sz w:val="20"/>
          <w:szCs w:val="20"/>
        </w:rPr>
        <w:t>,  p</w:t>
      </w:r>
      <w:r w:rsidRPr="00C03A42">
        <w:rPr>
          <w:rFonts w:ascii="Arial" w:eastAsia="Segoe UI" w:hAnsi="Arial" w:cs="Arial"/>
          <w:i/>
          <w:iCs/>
          <w:color w:val="323130"/>
          <w:sz w:val="20"/>
          <w:szCs w:val="20"/>
        </w:rPr>
        <w:t xml:space="preserve">ermite señalar que es aplicable el artículo 79 de la Ley 1437 del 2011 y por </w:t>
      </w:r>
      <w:r w:rsidRPr="00C03A42">
        <w:rPr>
          <w:rFonts w:ascii="Arial" w:eastAsia="Segoe UI" w:hAnsi="Arial" w:cs="Arial"/>
          <w:i/>
          <w:iCs/>
          <w:color w:val="323130"/>
          <w:sz w:val="20"/>
          <w:szCs w:val="20"/>
        </w:rPr>
        <w:lastRenderedPageBreak/>
        <w:t xml:space="preserve">eso podría invoco y el recurso de reposición contra el auto y el subsidio, el de apelación </w:t>
      </w:r>
      <w:r>
        <w:rPr>
          <w:rFonts w:ascii="Arial" w:eastAsia="Segoe UI" w:hAnsi="Arial" w:cs="Arial"/>
          <w:i/>
          <w:iCs/>
          <w:color w:val="323130"/>
          <w:sz w:val="20"/>
          <w:szCs w:val="20"/>
        </w:rPr>
        <w:t>e</w:t>
      </w:r>
      <w:r w:rsidRPr="00C03A42">
        <w:rPr>
          <w:rFonts w:ascii="Arial" w:eastAsia="Segoe UI" w:hAnsi="Arial" w:cs="Arial"/>
          <w:i/>
          <w:iCs/>
          <w:color w:val="323130"/>
          <w:sz w:val="20"/>
          <w:szCs w:val="20"/>
        </w:rPr>
        <w:t>fecto de que se me garantice el derecho de defensa y contradicción, estableció en el artículo 29 constitucional respecto a un auto que me decreta pruebas en el sentido que si la entidad hoy en día tiene la posibilidad de garantizarme a mí no solamente escucharme sino garantizar el d</w:t>
      </w:r>
      <w:r>
        <w:rPr>
          <w:rFonts w:ascii="Arial" w:eastAsia="Segoe UI" w:hAnsi="Arial" w:cs="Arial"/>
          <w:i/>
          <w:iCs/>
          <w:color w:val="323130"/>
          <w:sz w:val="20"/>
          <w:szCs w:val="20"/>
        </w:rPr>
        <w:t>e d</w:t>
      </w:r>
      <w:r w:rsidRPr="00C03A42">
        <w:rPr>
          <w:rFonts w:ascii="Arial" w:eastAsia="Segoe UI" w:hAnsi="Arial" w:cs="Arial"/>
          <w:i/>
          <w:iCs/>
          <w:color w:val="323130"/>
          <w:sz w:val="20"/>
          <w:szCs w:val="20"/>
        </w:rPr>
        <w:t xml:space="preserve">e defensa y contradicción debe decretarme las pruebas y por un formalismo que no dije, nombre, </w:t>
      </w:r>
      <w:r>
        <w:rPr>
          <w:rFonts w:ascii="Arial" w:eastAsia="Segoe UI" w:hAnsi="Arial" w:cs="Arial"/>
          <w:i/>
          <w:iCs/>
          <w:color w:val="323130"/>
          <w:sz w:val="20"/>
          <w:szCs w:val="20"/>
        </w:rPr>
        <w:t>c</w:t>
      </w:r>
      <w:r w:rsidRPr="00C03A42">
        <w:rPr>
          <w:rFonts w:ascii="Arial" w:eastAsia="Segoe UI" w:hAnsi="Arial" w:cs="Arial"/>
          <w:i/>
          <w:iCs/>
          <w:color w:val="323130"/>
          <w:sz w:val="20"/>
          <w:szCs w:val="20"/>
        </w:rPr>
        <w:t xml:space="preserve">édula, </w:t>
      </w:r>
      <w:r>
        <w:rPr>
          <w:rFonts w:ascii="Arial" w:eastAsia="Segoe UI" w:hAnsi="Arial" w:cs="Arial"/>
          <w:i/>
          <w:iCs/>
          <w:color w:val="323130"/>
          <w:sz w:val="20"/>
          <w:szCs w:val="20"/>
        </w:rPr>
        <w:t>(</w:t>
      </w:r>
      <w:r w:rsidRPr="00C03A42">
        <w:rPr>
          <w:rFonts w:ascii="Arial" w:eastAsia="Segoe UI" w:hAnsi="Arial" w:cs="Arial"/>
          <w:i/>
          <w:iCs/>
          <w:color w:val="323130"/>
          <w:sz w:val="20"/>
          <w:szCs w:val="20"/>
        </w:rPr>
        <w:t>bueno, el nombre, sí, lo dije</w:t>
      </w:r>
      <w:r>
        <w:rPr>
          <w:rFonts w:ascii="Arial" w:eastAsia="Segoe UI" w:hAnsi="Arial" w:cs="Arial"/>
          <w:i/>
          <w:iCs/>
          <w:color w:val="323130"/>
          <w:sz w:val="20"/>
          <w:szCs w:val="20"/>
        </w:rPr>
        <w:t>)</w:t>
      </w:r>
      <w:r w:rsidRPr="00C03A42">
        <w:rPr>
          <w:rFonts w:ascii="Arial" w:eastAsia="Segoe UI" w:hAnsi="Arial" w:cs="Arial"/>
          <w:i/>
          <w:iCs/>
          <w:color w:val="323130"/>
          <w:sz w:val="20"/>
          <w:szCs w:val="20"/>
        </w:rPr>
        <w:t xml:space="preserve">, pero así como ellos dijeron las pruebas de comunicaciones no las no las decretamos, es una forma de decir sí y no, no las decretan. </w:t>
      </w:r>
    </w:p>
    <w:p w14:paraId="5505C54B" w14:textId="77777777" w:rsidR="00C03A42" w:rsidRDefault="00C03A42" w:rsidP="00C03A42">
      <w:pPr>
        <w:spacing w:after="0" w:line="240" w:lineRule="auto"/>
        <w:ind w:left="360"/>
        <w:jc w:val="both"/>
        <w:rPr>
          <w:rFonts w:ascii="Arial" w:eastAsia="Segoe UI" w:hAnsi="Arial" w:cs="Arial"/>
          <w:i/>
          <w:iCs/>
          <w:color w:val="323130"/>
          <w:sz w:val="20"/>
          <w:szCs w:val="20"/>
        </w:rPr>
      </w:pPr>
    </w:p>
    <w:p w14:paraId="59C0FF55" w14:textId="218C75B9" w:rsidR="00C03A42"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t>Pue</w:t>
      </w:r>
      <w:r>
        <w:rPr>
          <w:rFonts w:ascii="Arial" w:eastAsia="Segoe UI" w:hAnsi="Arial" w:cs="Arial"/>
          <w:i/>
          <w:iCs/>
          <w:color w:val="323130"/>
          <w:sz w:val="20"/>
          <w:szCs w:val="20"/>
        </w:rPr>
        <w:t>s y</w:t>
      </w:r>
      <w:r w:rsidRPr="00C03A42">
        <w:rPr>
          <w:rFonts w:ascii="Arial" w:eastAsia="Segoe UI" w:hAnsi="Arial" w:cs="Arial"/>
          <w:i/>
          <w:iCs/>
          <w:color w:val="323130"/>
          <w:sz w:val="20"/>
          <w:szCs w:val="20"/>
        </w:rPr>
        <w:t>a las tenemos, entonces podrían decir si decretamos la prueba documental. Ya está inmersa en el link, entonces ya está ahí</w:t>
      </w:r>
      <w:r>
        <w:rPr>
          <w:rFonts w:ascii="Arial" w:eastAsia="Segoe UI" w:hAnsi="Arial" w:cs="Arial"/>
          <w:i/>
          <w:iCs/>
          <w:color w:val="323130"/>
          <w:sz w:val="20"/>
          <w:szCs w:val="20"/>
        </w:rPr>
        <w:t xml:space="preserve">. </w:t>
      </w:r>
      <w:r w:rsidRPr="00C03A42">
        <w:rPr>
          <w:rFonts w:ascii="Arial" w:eastAsia="Segoe UI" w:hAnsi="Arial" w:cs="Arial"/>
          <w:i/>
          <w:iCs/>
          <w:color w:val="323130"/>
          <w:sz w:val="20"/>
          <w:szCs w:val="20"/>
        </w:rPr>
        <w:t>No necesito decretarla nuevamente, ya está muy bien, entonces sí me la está concediendo, me dijo que no, pero es un sí, aquí también</w:t>
      </w:r>
      <w:r>
        <w:rPr>
          <w:rFonts w:ascii="Arial" w:eastAsia="Segoe UI" w:hAnsi="Arial" w:cs="Arial"/>
          <w:i/>
          <w:iCs/>
          <w:color w:val="323130"/>
          <w:sz w:val="20"/>
          <w:szCs w:val="20"/>
        </w:rPr>
        <w:t xml:space="preserve"> y</w:t>
      </w:r>
      <w:r w:rsidRPr="00C03A42">
        <w:rPr>
          <w:rFonts w:ascii="Arial" w:eastAsia="Segoe UI" w:hAnsi="Arial" w:cs="Arial"/>
          <w:i/>
          <w:iCs/>
          <w:color w:val="323130"/>
          <w:sz w:val="20"/>
          <w:szCs w:val="20"/>
        </w:rPr>
        <w:t>o puedo decir, es que el supervisor anterior, la hoja de vida la tiene la Secretaría de Hábitat y si la hoja de Vida la</w:t>
      </w:r>
      <w:r>
        <w:rPr>
          <w:rFonts w:ascii="Arial" w:eastAsia="Segoe UI" w:hAnsi="Arial" w:cs="Arial"/>
          <w:i/>
          <w:iCs/>
          <w:color w:val="323130"/>
          <w:sz w:val="20"/>
          <w:szCs w:val="20"/>
        </w:rPr>
        <w:t xml:space="preserve"> t</w:t>
      </w:r>
      <w:r w:rsidRPr="00C03A42">
        <w:rPr>
          <w:rFonts w:ascii="Arial" w:eastAsia="Segoe UI" w:hAnsi="Arial" w:cs="Arial"/>
          <w:i/>
          <w:iCs/>
          <w:color w:val="323130"/>
          <w:sz w:val="20"/>
          <w:szCs w:val="20"/>
        </w:rPr>
        <w:t>iene la Secretaría de Hábitat los datos de cédula, dirección y correo la tienen ustedes mismos dos los beneficiarios del proyecto de vivienda que no permitieron hacer las obras requeridas para poder para poder garantizar los ofrecimientos adicionales. ¿Quién tiene el listado beneficiario? ¿la Secretaría de Hábitat?</w:t>
      </w:r>
      <w:r>
        <w:rPr>
          <w:rFonts w:ascii="Arial" w:eastAsia="Segoe UI" w:hAnsi="Arial" w:cs="Arial"/>
          <w:i/>
          <w:iCs/>
          <w:color w:val="323130"/>
          <w:sz w:val="20"/>
          <w:szCs w:val="20"/>
        </w:rPr>
        <w:t xml:space="preserve"> </w:t>
      </w:r>
      <w:r w:rsidRPr="00C03A42">
        <w:rPr>
          <w:rFonts w:ascii="Arial" w:eastAsia="Segoe UI" w:hAnsi="Arial" w:cs="Arial"/>
          <w:i/>
          <w:iCs/>
          <w:color w:val="323130"/>
          <w:sz w:val="20"/>
          <w:szCs w:val="20"/>
        </w:rPr>
        <w:t>¿Quién los</w:t>
      </w:r>
      <w:r>
        <w:rPr>
          <w:rFonts w:ascii="Arial" w:eastAsia="Segoe UI" w:hAnsi="Arial" w:cs="Arial"/>
          <w:i/>
          <w:iCs/>
          <w:color w:val="323130"/>
          <w:sz w:val="20"/>
          <w:szCs w:val="20"/>
        </w:rPr>
        <w:t xml:space="preserve"> e</w:t>
      </w:r>
      <w:r w:rsidRPr="00C03A42">
        <w:rPr>
          <w:rFonts w:ascii="Arial" w:eastAsia="Segoe UI" w:hAnsi="Arial" w:cs="Arial"/>
          <w:i/>
          <w:iCs/>
          <w:color w:val="323130"/>
          <w:sz w:val="20"/>
          <w:szCs w:val="20"/>
        </w:rPr>
        <w:t>scogió</w:t>
      </w:r>
      <w:r w:rsidR="002D23E8">
        <w:rPr>
          <w:rFonts w:ascii="Arial" w:eastAsia="Segoe UI" w:hAnsi="Arial" w:cs="Arial"/>
          <w:i/>
          <w:iCs/>
          <w:color w:val="323130"/>
          <w:sz w:val="20"/>
          <w:szCs w:val="20"/>
        </w:rPr>
        <w:t>?</w:t>
      </w:r>
      <w:r w:rsidRPr="00C03A42">
        <w:rPr>
          <w:rFonts w:ascii="Arial" w:eastAsia="Segoe UI" w:hAnsi="Arial" w:cs="Arial"/>
          <w:i/>
          <w:iCs/>
          <w:color w:val="323130"/>
          <w:sz w:val="20"/>
          <w:szCs w:val="20"/>
        </w:rPr>
        <w:t xml:space="preserve"> la Secretaría de Hábitat. ¿Dónde está la información?</w:t>
      </w:r>
      <w:r>
        <w:rPr>
          <w:rFonts w:ascii="Arial" w:eastAsia="Segoe UI" w:hAnsi="Arial" w:cs="Arial"/>
          <w:i/>
          <w:iCs/>
          <w:color w:val="323130"/>
          <w:sz w:val="20"/>
          <w:szCs w:val="20"/>
        </w:rPr>
        <w:t xml:space="preserve"> </w:t>
      </w:r>
      <w:r w:rsidRPr="00C03A42">
        <w:rPr>
          <w:rFonts w:ascii="Arial" w:eastAsia="Segoe UI" w:hAnsi="Arial" w:cs="Arial"/>
          <w:i/>
          <w:iCs/>
          <w:color w:val="323130"/>
          <w:sz w:val="20"/>
          <w:szCs w:val="20"/>
        </w:rPr>
        <w:t>En la Secretaría de Hábitat</w:t>
      </w:r>
      <w:r>
        <w:rPr>
          <w:rFonts w:ascii="Arial" w:eastAsia="Segoe UI" w:hAnsi="Arial" w:cs="Arial"/>
          <w:i/>
          <w:iCs/>
          <w:color w:val="323130"/>
          <w:sz w:val="20"/>
          <w:szCs w:val="20"/>
        </w:rPr>
        <w:t>.</w:t>
      </w:r>
    </w:p>
    <w:p w14:paraId="6DFB4549" w14:textId="69D2CDF7" w:rsidR="002D23E8" w:rsidRDefault="00C03A42" w:rsidP="00C03A42">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br/>
        <w:t xml:space="preserve">¿Entonces, por qué me niegan la prueba si ellos tienen la información? El representante legal de la </w:t>
      </w:r>
      <w:r w:rsidR="002D23E8">
        <w:rPr>
          <w:rFonts w:ascii="Arial" w:eastAsia="Segoe UI" w:hAnsi="Arial" w:cs="Arial"/>
          <w:i/>
          <w:iCs/>
          <w:color w:val="323130"/>
          <w:sz w:val="20"/>
          <w:szCs w:val="20"/>
        </w:rPr>
        <w:t>i</w:t>
      </w:r>
      <w:r w:rsidRPr="00C03A42">
        <w:rPr>
          <w:rFonts w:ascii="Arial" w:eastAsia="Segoe UI" w:hAnsi="Arial" w:cs="Arial"/>
          <w:i/>
          <w:iCs/>
          <w:color w:val="323130"/>
          <w:sz w:val="20"/>
          <w:szCs w:val="20"/>
        </w:rPr>
        <w:t>nterventoria en el Acta de Constitución del consorcio y de designación de representante legal en los términos del artículo séptimo de la Ley 80 del 93, establece el nombre del Re</w:t>
      </w:r>
      <w:r w:rsidR="002D23E8">
        <w:rPr>
          <w:rFonts w:ascii="Arial" w:eastAsia="Segoe UI" w:hAnsi="Arial" w:cs="Arial"/>
          <w:i/>
          <w:iCs/>
          <w:color w:val="323130"/>
          <w:sz w:val="20"/>
          <w:szCs w:val="20"/>
        </w:rPr>
        <w:t xml:space="preserve">presentante </w:t>
      </w:r>
      <w:r w:rsidRPr="00C03A42">
        <w:rPr>
          <w:rFonts w:ascii="Arial" w:eastAsia="Segoe UI" w:hAnsi="Arial" w:cs="Arial"/>
          <w:i/>
          <w:iCs/>
          <w:color w:val="323130"/>
          <w:sz w:val="20"/>
          <w:szCs w:val="20"/>
        </w:rPr>
        <w:t>Legal</w:t>
      </w:r>
      <w:r w:rsidR="002D23E8">
        <w:rPr>
          <w:rFonts w:ascii="Arial" w:eastAsia="Segoe UI" w:hAnsi="Arial" w:cs="Arial"/>
          <w:i/>
          <w:iCs/>
          <w:color w:val="323130"/>
          <w:sz w:val="20"/>
          <w:szCs w:val="20"/>
        </w:rPr>
        <w:t>,</w:t>
      </w:r>
      <w:r w:rsidRPr="00C03A42">
        <w:rPr>
          <w:rFonts w:ascii="Arial" w:eastAsia="Segoe UI" w:hAnsi="Arial" w:cs="Arial"/>
          <w:i/>
          <w:iCs/>
          <w:color w:val="323130"/>
          <w:sz w:val="20"/>
          <w:szCs w:val="20"/>
        </w:rPr>
        <w:t xml:space="preserve"> la Cédula del teléfono y el correo electrónico</w:t>
      </w:r>
      <w:r w:rsidR="002D23E8">
        <w:rPr>
          <w:rFonts w:ascii="Arial" w:eastAsia="Segoe UI" w:hAnsi="Arial" w:cs="Arial"/>
          <w:i/>
          <w:iCs/>
          <w:color w:val="323130"/>
          <w:sz w:val="20"/>
          <w:szCs w:val="20"/>
        </w:rPr>
        <w:t>. E</w:t>
      </w:r>
      <w:r w:rsidRPr="00C03A42">
        <w:rPr>
          <w:rFonts w:ascii="Arial" w:eastAsia="Segoe UI" w:hAnsi="Arial" w:cs="Arial"/>
          <w:i/>
          <w:iCs/>
          <w:color w:val="323130"/>
          <w:sz w:val="20"/>
          <w:szCs w:val="20"/>
        </w:rPr>
        <w:t xml:space="preserve">stán negándome la prueba en los mismos términos, en virtud de equiparándolos y en virtud del derecho a igualdad. </w:t>
      </w:r>
    </w:p>
    <w:p w14:paraId="52E69F4E" w14:textId="77777777" w:rsidR="002D23E8" w:rsidRDefault="002D23E8" w:rsidP="00C03A42">
      <w:pPr>
        <w:spacing w:after="0" w:line="240" w:lineRule="auto"/>
        <w:ind w:left="360"/>
        <w:jc w:val="both"/>
        <w:rPr>
          <w:rFonts w:ascii="Arial" w:eastAsia="Segoe UI" w:hAnsi="Arial" w:cs="Arial"/>
          <w:i/>
          <w:iCs/>
          <w:color w:val="323130"/>
          <w:sz w:val="20"/>
          <w:szCs w:val="20"/>
        </w:rPr>
      </w:pPr>
    </w:p>
    <w:p w14:paraId="22456EF7" w14:textId="343EF34C" w:rsidR="002D23E8" w:rsidRDefault="00C03A42" w:rsidP="002D23E8">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t xml:space="preserve">¿Si la información la tiene la Secretaria de Hábitat por qué me niega las pruebas testimoniales? </w:t>
      </w:r>
      <w:r w:rsidR="002D23E8" w:rsidRPr="00C03A42">
        <w:rPr>
          <w:rFonts w:ascii="Arial" w:eastAsia="Segoe UI" w:hAnsi="Arial" w:cs="Arial"/>
          <w:i/>
          <w:iCs/>
          <w:color w:val="323130"/>
          <w:sz w:val="20"/>
          <w:szCs w:val="20"/>
        </w:rPr>
        <w:t>¿Ahora para verificar que si Los reforzamientos estructurales están o no están?</w:t>
      </w:r>
      <w:r w:rsidRPr="00C03A42">
        <w:rPr>
          <w:rFonts w:ascii="Arial" w:eastAsia="Segoe UI" w:hAnsi="Arial" w:cs="Arial"/>
          <w:i/>
          <w:iCs/>
          <w:color w:val="323130"/>
          <w:sz w:val="20"/>
          <w:szCs w:val="20"/>
        </w:rPr>
        <w:t xml:space="preserve"> ¿Quién debe si no quieren hacer la visita?</w:t>
      </w:r>
      <w:r w:rsidR="002D23E8">
        <w:rPr>
          <w:rFonts w:ascii="Arial" w:eastAsia="Segoe UI" w:hAnsi="Arial" w:cs="Arial"/>
          <w:i/>
          <w:iCs/>
          <w:color w:val="323130"/>
          <w:sz w:val="20"/>
          <w:szCs w:val="20"/>
        </w:rPr>
        <w:t xml:space="preserve"> e</w:t>
      </w:r>
      <w:r w:rsidR="002D23E8" w:rsidRPr="00C03A42">
        <w:rPr>
          <w:rFonts w:ascii="Arial" w:eastAsia="Segoe UI" w:hAnsi="Arial" w:cs="Arial"/>
          <w:i/>
          <w:iCs/>
          <w:color w:val="323130"/>
          <w:sz w:val="20"/>
          <w:szCs w:val="20"/>
        </w:rPr>
        <w:t>ntonces, cómo hago yo para probar que sí están los reforzantes estructurales, si no es de otra manera, que hacen una visita, es pertinente, es conducente y es necesario para garantizar mi de defensa tienen que desplazarse para corroborar que sí están hechas los reforzamientos estructurales, si no se hace la visita, ¿entonces a quién le creemos?</w:t>
      </w:r>
      <w:r w:rsidRPr="00C03A42">
        <w:rPr>
          <w:rFonts w:ascii="Arial" w:eastAsia="Segoe UI" w:hAnsi="Arial" w:cs="Arial"/>
          <w:i/>
          <w:iCs/>
          <w:color w:val="323130"/>
          <w:sz w:val="20"/>
          <w:szCs w:val="20"/>
        </w:rPr>
        <w:t xml:space="preserve"> </w:t>
      </w:r>
    </w:p>
    <w:p w14:paraId="1BFEA54C" w14:textId="77777777" w:rsidR="002D23E8" w:rsidRDefault="002D23E8" w:rsidP="002D23E8">
      <w:pPr>
        <w:spacing w:after="0" w:line="240" w:lineRule="auto"/>
        <w:ind w:left="360"/>
        <w:jc w:val="both"/>
        <w:rPr>
          <w:rFonts w:ascii="Arial" w:eastAsia="Segoe UI" w:hAnsi="Arial" w:cs="Arial"/>
          <w:i/>
          <w:iCs/>
          <w:color w:val="323130"/>
          <w:sz w:val="20"/>
          <w:szCs w:val="20"/>
        </w:rPr>
      </w:pPr>
    </w:p>
    <w:p w14:paraId="32616741" w14:textId="77777777" w:rsidR="002D23E8" w:rsidRDefault="00C03A42" w:rsidP="002D23E8">
      <w:pPr>
        <w:spacing w:after="0" w:line="240" w:lineRule="auto"/>
        <w:ind w:left="360"/>
        <w:jc w:val="both"/>
        <w:rPr>
          <w:rFonts w:ascii="Arial" w:eastAsia="Segoe UI" w:hAnsi="Arial" w:cs="Arial"/>
          <w:i/>
          <w:iCs/>
          <w:color w:val="323130"/>
          <w:sz w:val="20"/>
          <w:szCs w:val="20"/>
        </w:rPr>
      </w:pPr>
      <w:r w:rsidRPr="00C03A42">
        <w:rPr>
          <w:rFonts w:ascii="Arial" w:eastAsia="Segoe UI" w:hAnsi="Arial" w:cs="Arial"/>
          <w:i/>
          <w:iCs/>
          <w:color w:val="323130"/>
          <w:sz w:val="20"/>
          <w:szCs w:val="20"/>
        </w:rPr>
        <w:t>Con una carta que sí está o que no está, entonces está cerrando el derecho de defensa y si no hay visitas, pues obviamente lo</w:t>
      </w:r>
      <w:r w:rsidR="002D23E8">
        <w:rPr>
          <w:rFonts w:ascii="Arial" w:eastAsia="Segoe UI" w:hAnsi="Arial" w:cs="Arial"/>
          <w:i/>
          <w:iCs/>
          <w:color w:val="323130"/>
          <w:sz w:val="20"/>
          <w:szCs w:val="20"/>
        </w:rPr>
        <w:t xml:space="preserve"> </w:t>
      </w:r>
      <w:r w:rsidRPr="00C03A42">
        <w:rPr>
          <w:rFonts w:ascii="Arial" w:eastAsia="Segoe UI" w:hAnsi="Arial" w:cs="Arial"/>
          <w:i/>
          <w:iCs/>
          <w:color w:val="323130"/>
          <w:sz w:val="20"/>
          <w:szCs w:val="20"/>
        </w:rPr>
        <w:t>diga una carta desde un punto de vista técnico no es suficiente para acreditar la inocencia de la empresa que represento, que es el consorcio interventor, pues en virtud de ello, por eso debo interponer los recursos porque el auto transgrede el derecho de defensa y contradicción. Transgrede el</w:t>
      </w:r>
      <w:r w:rsidR="002D23E8">
        <w:rPr>
          <w:rFonts w:ascii="Arial" w:eastAsia="Segoe UI" w:hAnsi="Arial" w:cs="Arial"/>
          <w:i/>
          <w:iCs/>
          <w:color w:val="323130"/>
          <w:sz w:val="20"/>
          <w:szCs w:val="20"/>
        </w:rPr>
        <w:t xml:space="preserve"> d</w:t>
      </w:r>
      <w:r w:rsidRPr="00C03A42">
        <w:rPr>
          <w:rFonts w:ascii="Arial" w:eastAsia="Segoe UI" w:hAnsi="Arial" w:cs="Arial"/>
          <w:i/>
          <w:iCs/>
          <w:color w:val="323130"/>
          <w:sz w:val="20"/>
          <w:szCs w:val="20"/>
        </w:rPr>
        <w:t>erecho fundamental del artículo 29 constitucional igualmente, están ignorando las remisiones expresas del artículo 47 de la Ley 1437 del 2011, que específicamente me</w:t>
      </w:r>
      <w:r w:rsidRPr="002D23E8">
        <w:rPr>
          <w:rFonts w:ascii="Arial" w:eastAsia="Segoe UI" w:hAnsi="Arial" w:cs="Arial"/>
          <w:i/>
          <w:iCs/>
          <w:color w:val="323130"/>
          <w:sz w:val="20"/>
          <w:szCs w:val="20"/>
        </w:rPr>
        <w:t xml:space="preserve"> garantiza. </w:t>
      </w:r>
    </w:p>
    <w:p w14:paraId="1D560CE9" w14:textId="77777777" w:rsidR="002D23E8" w:rsidRDefault="002D23E8" w:rsidP="002D23E8">
      <w:pPr>
        <w:spacing w:after="0" w:line="240" w:lineRule="auto"/>
        <w:ind w:left="360"/>
        <w:jc w:val="both"/>
        <w:rPr>
          <w:rFonts w:ascii="Arial" w:eastAsia="Segoe UI" w:hAnsi="Arial" w:cs="Arial"/>
          <w:i/>
          <w:iCs/>
          <w:color w:val="323130"/>
          <w:sz w:val="20"/>
          <w:szCs w:val="20"/>
        </w:rPr>
      </w:pPr>
    </w:p>
    <w:p w14:paraId="3FC08EAD" w14:textId="77777777" w:rsidR="002D23E8" w:rsidRDefault="00C03A42" w:rsidP="002D23E8">
      <w:pPr>
        <w:spacing w:after="0" w:line="240" w:lineRule="auto"/>
        <w:ind w:left="360"/>
        <w:jc w:val="both"/>
        <w:rPr>
          <w:rFonts w:ascii="Arial" w:eastAsia="Segoe UI" w:hAnsi="Arial" w:cs="Arial"/>
          <w:i/>
          <w:iCs/>
          <w:color w:val="323130"/>
          <w:sz w:val="20"/>
          <w:szCs w:val="20"/>
        </w:rPr>
      </w:pPr>
      <w:r w:rsidRPr="002D23E8">
        <w:rPr>
          <w:rFonts w:ascii="Arial" w:eastAsia="Segoe UI" w:hAnsi="Arial" w:cs="Arial"/>
          <w:i/>
          <w:iCs/>
          <w:color w:val="323130"/>
          <w:sz w:val="20"/>
          <w:szCs w:val="20"/>
        </w:rPr>
        <w:t>A mí me garantiza a mí en un proceso sancionatorio administrativo que me sean respetados los derechos es</w:t>
      </w:r>
      <w:r w:rsidR="002D23E8">
        <w:rPr>
          <w:rFonts w:ascii="Arial" w:eastAsia="Segoe UI" w:hAnsi="Arial" w:cs="Arial"/>
          <w:i/>
          <w:iCs/>
          <w:color w:val="323130"/>
          <w:sz w:val="20"/>
          <w:szCs w:val="20"/>
        </w:rPr>
        <w:t xml:space="preserve"> p</w:t>
      </w:r>
      <w:r w:rsidRPr="002D23E8">
        <w:rPr>
          <w:rFonts w:ascii="Arial" w:eastAsia="Segoe UI" w:hAnsi="Arial" w:cs="Arial"/>
          <w:i/>
          <w:iCs/>
          <w:color w:val="323130"/>
          <w:sz w:val="20"/>
          <w:szCs w:val="20"/>
        </w:rPr>
        <w:t>roceso sancionatorio obviamente está modificado por el parágrafo 1 del artículo</w:t>
      </w:r>
      <w:r w:rsidR="002D23E8">
        <w:rPr>
          <w:rFonts w:ascii="Arial" w:eastAsia="Segoe UI" w:hAnsi="Arial" w:cs="Arial"/>
          <w:i/>
          <w:iCs/>
          <w:color w:val="323130"/>
          <w:sz w:val="20"/>
          <w:szCs w:val="20"/>
        </w:rPr>
        <w:t xml:space="preserve"> </w:t>
      </w:r>
      <w:r w:rsidRPr="002D23E8">
        <w:rPr>
          <w:rFonts w:ascii="Arial" w:eastAsia="Segoe UI" w:hAnsi="Arial" w:cs="Arial"/>
          <w:i/>
          <w:iCs/>
          <w:color w:val="323130"/>
          <w:sz w:val="20"/>
          <w:szCs w:val="20"/>
        </w:rPr>
        <w:t xml:space="preserve"> tercero de la Ley 2080 del 2021, entonces por eso dice las actuaciones administrativas contractuales sancionatorias, incluyendo los recursos, se regirán por dispuestos en las normas especiales sobre la materia y en lo n</w:t>
      </w:r>
      <w:r w:rsidR="002D23E8">
        <w:rPr>
          <w:rFonts w:ascii="Arial" w:eastAsia="Segoe UI" w:hAnsi="Arial" w:cs="Arial"/>
          <w:i/>
          <w:iCs/>
          <w:color w:val="323130"/>
          <w:sz w:val="20"/>
          <w:szCs w:val="20"/>
        </w:rPr>
        <w:t>o p</w:t>
      </w:r>
      <w:r w:rsidRPr="002D23E8">
        <w:rPr>
          <w:rFonts w:ascii="Arial" w:eastAsia="Segoe UI" w:hAnsi="Arial" w:cs="Arial"/>
          <w:i/>
          <w:iCs/>
          <w:color w:val="323130"/>
          <w:sz w:val="20"/>
          <w:szCs w:val="20"/>
        </w:rPr>
        <w:t xml:space="preserve">revisto con el </w:t>
      </w:r>
      <w:r w:rsidR="002D23E8">
        <w:rPr>
          <w:rFonts w:ascii="Arial" w:eastAsia="Segoe UI" w:hAnsi="Arial" w:cs="Arial"/>
          <w:i/>
          <w:iCs/>
          <w:color w:val="323130"/>
          <w:sz w:val="20"/>
          <w:szCs w:val="20"/>
        </w:rPr>
        <w:t>CPACA</w:t>
      </w:r>
      <w:r w:rsidRPr="002D23E8">
        <w:rPr>
          <w:rFonts w:ascii="Arial" w:eastAsia="Segoe UI" w:hAnsi="Arial" w:cs="Arial"/>
          <w:i/>
          <w:iCs/>
          <w:color w:val="323130"/>
          <w:sz w:val="20"/>
          <w:szCs w:val="20"/>
        </w:rPr>
        <w:t xml:space="preserve"> por eso invoco el artículo 79 de la </w:t>
      </w:r>
      <w:r w:rsidR="002D23E8">
        <w:rPr>
          <w:rFonts w:ascii="Arial" w:eastAsia="Segoe UI" w:hAnsi="Arial" w:cs="Arial"/>
          <w:i/>
          <w:iCs/>
          <w:color w:val="323130"/>
          <w:sz w:val="20"/>
          <w:szCs w:val="20"/>
        </w:rPr>
        <w:lastRenderedPageBreak/>
        <w:t xml:space="preserve">Ley </w:t>
      </w:r>
      <w:r w:rsidRPr="002D23E8">
        <w:rPr>
          <w:rFonts w:ascii="Arial" w:eastAsia="Segoe UI" w:hAnsi="Arial" w:cs="Arial"/>
          <w:i/>
          <w:iCs/>
          <w:color w:val="323130"/>
          <w:sz w:val="20"/>
          <w:szCs w:val="20"/>
        </w:rPr>
        <w:t>14</w:t>
      </w:r>
      <w:r w:rsidR="002D23E8">
        <w:rPr>
          <w:rFonts w:ascii="Arial" w:eastAsia="Segoe UI" w:hAnsi="Arial" w:cs="Arial"/>
          <w:i/>
          <w:iCs/>
          <w:color w:val="323130"/>
          <w:sz w:val="20"/>
          <w:szCs w:val="20"/>
        </w:rPr>
        <w:t>3</w:t>
      </w:r>
      <w:r w:rsidRPr="002D23E8">
        <w:rPr>
          <w:rFonts w:ascii="Arial" w:eastAsia="Segoe UI" w:hAnsi="Arial" w:cs="Arial"/>
          <w:i/>
          <w:iCs/>
          <w:color w:val="323130"/>
          <w:sz w:val="20"/>
          <w:szCs w:val="20"/>
        </w:rPr>
        <w:t>7</w:t>
      </w:r>
      <w:r w:rsidR="002D23E8">
        <w:rPr>
          <w:rFonts w:ascii="Arial" w:eastAsia="Segoe UI" w:hAnsi="Arial" w:cs="Arial"/>
          <w:i/>
          <w:iCs/>
          <w:color w:val="323130"/>
          <w:sz w:val="20"/>
          <w:szCs w:val="20"/>
        </w:rPr>
        <w:t>,</w:t>
      </w:r>
      <w:r w:rsidRPr="002D23E8">
        <w:rPr>
          <w:rFonts w:ascii="Arial" w:eastAsia="Segoe UI" w:hAnsi="Arial" w:cs="Arial"/>
          <w:i/>
          <w:iCs/>
          <w:color w:val="323130"/>
          <w:sz w:val="20"/>
          <w:szCs w:val="20"/>
        </w:rPr>
        <w:t xml:space="preserve"> en los recursos entonces por norma especial, el artículo 86 solamente procede recurso de reposición respecto a la decisión, pero como la parte probatoria no la trae, debo apl</w:t>
      </w:r>
      <w:r w:rsidR="002D23E8">
        <w:rPr>
          <w:rFonts w:ascii="Arial" w:eastAsia="Segoe UI" w:hAnsi="Arial" w:cs="Arial"/>
          <w:i/>
          <w:iCs/>
          <w:color w:val="323130"/>
          <w:sz w:val="20"/>
          <w:szCs w:val="20"/>
        </w:rPr>
        <w:t>icar</w:t>
      </w:r>
      <w:r w:rsidRPr="002D23E8">
        <w:rPr>
          <w:rFonts w:ascii="Arial" w:eastAsia="Segoe UI" w:hAnsi="Arial" w:cs="Arial"/>
          <w:i/>
          <w:iCs/>
          <w:color w:val="323130"/>
          <w:sz w:val="20"/>
          <w:szCs w:val="20"/>
        </w:rPr>
        <w:br/>
      </w:r>
      <w:r w:rsidR="002D23E8">
        <w:rPr>
          <w:rFonts w:ascii="Arial" w:eastAsia="Segoe UI" w:hAnsi="Arial" w:cs="Arial"/>
          <w:i/>
          <w:iCs/>
          <w:color w:val="323130"/>
          <w:sz w:val="20"/>
          <w:szCs w:val="20"/>
        </w:rPr>
        <w:t>e</w:t>
      </w:r>
      <w:r w:rsidRPr="002D23E8">
        <w:rPr>
          <w:rFonts w:ascii="Arial" w:eastAsia="Segoe UI" w:hAnsi="Arial" w:cs="Arial"/>
          <w:i/>
          <w:iCs/>
          <w:color w:val="323130"/>
          <w:sz w:val="20"/>
          <w:szCs w:val="20"/>
        </w:rPr>
        <w:t>ste artículo tercero de la ley</w:t>
      </w:r>
      <w:r w:rsidR="002D23E8">
        <w:rPr>
          <w:rFonts w:ascii="Arial" w:eastAsia="Segoe UI" w:hAnsi="Arial" w:cs="Arial"/>
          <w:i/>
          <w:iCs/>
          <w:color w:val="323130"/>
          <w:sz w:val="20"/>
          <w:szCs w:val="20"/>
        </w:rPr>
        <w:t>.</w:t>
      </w:r>
    </w:p>
    <w:p w14:paraId="61FFE51C" w14:textId="77777777" w:rsidR="002D23E8" w:rsidRDefault="002D23E8" w:rsidP="002D23E8">
      <w:pPr>
        <w:spacing w:after="0" w:line="240" w:lineRule="auto"/>
        <w:ind w:left="360"/>
        <w:jc w:val="both"/>
        <w:rPr>
          <w:rFonts w:ascii="Arial" w:eastAsia="Segoe UI" w:hAnsi="Arial" w:cs="Arial"/>
          <w:i/>
          <w:iCs/>
          <w:color w:val="323130"/>
          <w:sz w:val="20"/>
          <w:szCs w:val="20"/>
        </w:rPr>
      </w:pPr>
    </w:p>
    <w:p w14:paraId="4F6B8D79" w14:textId="41CDC305" w:rsidR="00C03A42" w:rsidRPr="00C03A42" w:rsidRDefault="002D23E8" w:rsidP="002D23E8">
      <w:pPr>
        <w:spacing w:after="0" w:line="240" w:lineRule="auto"/>
        <w:ind w:left="360"/>
        <w:jc w:val="both"/>
        <w:rPr>
          <w:rFonts w:ascii="Arial" w:eastAsia="Segoe UI" w:hAnsi="Arial" w:cs="Arial"/>
          <w:i/>
          <w:iCs/>
          <w:color w:val="323130"/>
          <w:sz w:val="20"/>
          <w:szCs w:val="20"/>
        </w:rPr>
      </w:pPr>
      <w:r>
        <w:rPr>
          <w:rFonts w:ascii="Arial" w:eastAsia="Segoe UI" w:hAnsi="Arial" w:cs="Arial"/>
          <w:i/>
          <w:iCs/>
          <w:color w:val="323130"/>
          <w:sz w:val="20"/>
          <w:szCs w:val="20"/>
        </w:rPr>
        <w:t>E</w:t>
      </w:r>
      <w:r w:rsidR="00C03A42" w:rsidRPr="002D23E8">
        <w:rPr>
          <w:rFonts w:ascii="Arial" w:eastAsia="Segoe UI" w:hAnsi="Arial" w:cs="Arial"/>
          <w:i/>
          <w:iCs/>
          <w:color w:val="323130"/>
          <w:sz w:val="20"/>
          <w:szCs w:val="20"/>
        </w:rPr>
        <w:t>n esos términos como ap</w:t>
      </w:r>
      <w:r>
        <w:rPr>
          <w:rFonts w:ascii="Arial" w:eastAsia="Segoe UI" w:hAnsi="Arial" w:cs="Arial"/>
          <w:i/>
          <w:iCs/>
          <w:color w:val="323130"/>
          <w:sz w:val="20"/>
          <w:szCs w:val="20"/>
        </w:rPr>
        <w:t xml:space="preserve">oderado </w:t>
      </w:r>
      <w:r w:rsidR="00C03A42" w:rsidRPr="002D23E8">
        <w:rPr>
          <w:rFonts w:ascii="Arial" w:eastAsia="Segoe UI" w:hAnsi="Arial" w:cs="Arial"/>
          <w:i/>
          <w:iCs/>
          <w:color w:val="323130"/>
          <w:sz w:val="20"/>
          <w:szCs w:val="20"/>
        </w:rPr>
        <w:t xml:space="preserve">del consorcio interventor dejo sentado el recurso </w:t>
      </w:r>
      <w:r>
        <w:rPr>
          <w:rFonts w:ascii="Arial" w:eastAsia="Segoe UI" w:hAnsi="Arial" w:cs="Arial"/>
          <w:i/>
          <w:iCs/>
          <w:color w:val="323130"/>
          <w:sz w:val="20"/>
          <w:szCs w:val="20"/>
        </w:rPr>
        <w:t xml:space="preserve">de </w:t>
      </w:r>
      <w:r w:rsidR="00C03A42" w:rsidRPr="002D23E8">
        <w:rPr>
          <w:rFonts w:ascii="Arial" w:eastAsia="Segoe UI" w:hAnsi="Arial" w:cs="Arial"/>
          <w:i/>
          <w:iCs/>
          <w:color w:val="323130"/>
          <w:sz w:val="20"/>
          <w:szCs w:val="20"/>
        </w:rPr>
        <w:t>reposición y su apelación con fundamento en el artículo 79 de la Ley 1437 del 2011, en coordinación del</w:t>
      </w:r>
      <w:r>
        <w:rPr>
          <w:rFonts w:ascii="Arial" w:eastAsia="Segoe UI" w:hAnsi="Arial" w:cs="Arial"/>
          <w:i/>
          <w:iCs/>
          <w:color w:val="323130"/>
          <w:sz w:val="20"/>
          <w:szCs w:val="20"/>
        </w:rPr>
        <w:t xml:space="preserve"> </w:t>
      </w:r>
      <w:r w:rsidR="00C03A42" w:rsidRPr="002D23E8">
        <w:rPr>
          <w:rFonts w:ascii="Arial" w:eastAsia="Segoe UI" w:hAnsi="Arial" w:cs="Arial"/>
          <w:i/>
          <w:iCs/>
          <w:color w:val="323130"/>
          <w:sz w:val="20"/>
          <w:szCs w:val="20"/>
        </w:rPr>
        <w:t>Artículo tercero de la Ley 2080 del 2021, que modifica el parágrafo del artículo 47 de la Ley 1437 del 2011. Muchas gracias</w:t>
      </w:r>
      <w:r>
        <w:rPr>
          <w:rFonts w:ascii="Arial" w:eastAsia="Segoe UI" w:hAnsi="Arial" w:cs="Arial"/>
          <w:i/>
          <w:iCs/>
          <w:color w:val="323130"/>
          <w:sz w:val="20"/>
          <w:szCs w:val="20"/>
        </w:rPr>
        <w:t xml:space="preserve"> (…)”</w:t>
      </w:r>
      <w:r w:rsidR="00C03A42" w:rsidRPr="002D23E8">
        <w:rPr>
          <w:rFonts w:ascii="Arial" w:eastAsia="Segoe UI" w:hAnsi="Arial" w:cs="Arial"/>
          <w:i/>
          <w:iCs/>
          <w:color w:val="323130"/>
          <w:sz w:val="20"/>
          <w:szCs w:val="20"/>
        </w:rPr>
        <w:t>.</w:t>
      </w:r>
    </w:p>
    <w:p w14:paraId="3E514908" w14:textId="77777777" w:rsidR="00C03A42" w:rsidRPr="003D4B57" w:rsidRDefault="00C03A42" w:rsidP="00C03A42">
      <w:pPr>
        <w:spacing w:after="0" w:line="240" w:lineRule="auto"/>
        <w:jc w:val="both"/>
        <w:rPr>
          <w:rFonts w:ascii="Arial" w:hAnsi="Arial" w:cs="Arial"/>
          <w:color w:val="000000" w:themeColor="text1"/>
        </w:rPr>
      </w:pPr>
    </w:p>
    <w:p w14:paraId="418B882B" w14:textId="644760BB" w:rsidR="00C93AF4" w:rsidRPr="009954C4" w:rsidRDefault="00065615" w:rsidP="009954C4">
      <w:pPr>
        <w:pStyle w:val="Prrafodelista"/>
        <w:numPr>
          <w:ilvl w:val="0"/>
          <w:numId w:val="1"/>
        </w:numPr>
        <w:spacing w:after="0" w:line="240" w:lineRule="auto"/>
        <w:jc w:val="both"/>
        <w:rPr>
          <w:rFonts w:ascii="Arial" w:hAnsi="Arial" w:cs="Arial"/>
          <w:b/>
          <w:bCs/>
          <w:color w:val="000000" w:themeColor="text1"/>
        </w:rPr>
      </w:pPr>
      <w:r>
        <w:rPr>
          <w:rFonts w:ascii="Arial" w:hAnsi="Arial" w:cs="Arial"/>
          <w:b/>
          <w:bCs/>
          <w:color w:val="000000" w:themeColor="text1"/>
        </w:rPr>
        <w:t>Análisis realizado por la SDHT.</w:t>
      </w:r>
    </w:p>
    <w:p w14:paraId="40BECAF6" w14:textId="77777777" w:rsidR="0083300A" w:rsidRPr="0083300A" w:rsidRDefault="0083300A" w:rsidP="0083300A">
      <w:pPr>
        <w:spacing w:after="0" w:line="240" w:lineRule="auto"/>
        <w:jc w:val="both"/>
        <w:rPr>
          <w:rFonts w:ascii="Arial" w:hAnsi="Arial" w:cs="Arial"/>
          <w:b/>
          <w:bCs/>
          <w:color w:val="000000" w:themeColor="text1"/>
        </w:rPr>
      </w:pPr>
    </w:p>
    <w:p w14:paraId="0E10F6A1" w14:textId="3CFA8767" w:rsidR="00065615" w:rsidRDefault="00065615" w:rsidP="00146EFA">
      <w:pPr>
        <w:tabs>
          <w:tab w:val="num" w:pos="720"/>
        </w:tabs>
        <w:spacing w:after="0" w:line="240" w:lineRule="auto"/>
        <w:jc w:val="both"/>
        <w:rPr>
          <w:rFonts w:ascii="Arial" w:hAnsi="Arial" w:cs="Arial"/>
          <w:color w:val="000000" w:themeColor="text1"/>
        </w:rPr>
      </w:pPr>
      <w:r>
        <w:rPr>
          <w:rFonts w:ascii="Arial" w:hAnsi="Arial" w:cs="Arial"/>
          <w:color w:val="000000" w:themeColor="text1"/>
        </w:rPr>
        <w:t>Revisados los argumentos del apoderado del contratista, la SDHT manifiesta no compartirlos y por lo tanto declara improcedente la solicitud de recurso se reposición y en subsidio de apelación contra el auto de pruebas del pasado 3 de abril de 2025.</w:t>
      </w:r>
    </w:p>
    <w:p w14:paraId="37B76C75" w14:textId="77777777" w:rsidR="00065615" w:rsidRDefault="00065615" w:rsidP="00146EFA">
      <w:pPr>
        <w:tabs>
          <w:tab w:val="num" w:pos="720"/>
        </w:tabs>
        <w:spacing w:after="0" w:line="240" w:lineRule="auto"/>
        <w:jc w:val="both"/>
        <w:rPr>
          <w:rFonts w:ascii="Arial" w:hAnsi="Arial" w:cs="Arial"/>
          <w:color w:val="000000" w:themeColor="text1"/>
        </w:rPr>
      </w:pPr>
    </w:p>
    <w:p w14:paraId="52E2BD5B" w14:textId="77777777" w:rsidR="00065615" w:rsidRDefault="00065615" w:rsidP="00146EFA">
      <w:pPr>
        <w:tabs>
          <w:tab w:val="num" w:pos="720"/>
        </w:tabs>
        <w:spacing w:after="0" w:line="240" w:lineRule="auto"/>
        <w:jc w:val="both"/>
        <w:rPr>
          <w:rFonts w:ascii="Arial" w:hAnsi="Arial" w:cs="Arial"/>
          <w:color w:val="000000" w:themeColor="text1"/>
        </w:rPr>
      </w:pPr>
      <w:r>
        <w:rPr>
          <w:rFonts w:ascii="Arial" w:hAnsi="Arial" w:cs="Arial"/>
          <w:color w:val="000000" w:themeColor="text1"/>
        </w:rPr>
        <w:t>Lo anterior toda vez que contra la decisión tomada en la sesión mencionada, esto es la que decide las pruebas en el proceso sancionatorio contractual, no procede recurso alguno, sustentado en que el procedimiento establecido por el artículo 6 de la Ley 1474 de 2011, aunque se trate de un proceso especial,  el mismo no prevé  expresamente recursos contra  decisiones intermedias como la negativa de pruebas, y en que, acudiendo  a una integración normativa  con el CPACA, su artículo 40, dispone de manera expresa la improcedencia  de recursos frente  al acto que  resuelve sobre pruebas dentro de la actuación administrativa.</w:t>
      </w:r>
    </w:p>
    <w:p w14:paraId="5F49F447" w14:textId="77777777" w:rsidR="00065615" w:rsidRDefault="00065615" w:rsidP="00146EFA">
      <w:pPr>
        <w:tabs>
          <w:tab w:val="num" w:pos="720"/>
        </w:tabs>
        <w:spacing w:after="0" w:line="240" w:lineRule="auto"/>
        <w:jc w:val="both"/>
        <w:rPr>
          <w:rFonts w:ascii="Arial" w:hAnsi="Arial" w:cs="Arial"/>
          <w:color w:val="000000" w:themeColor="text1"/>
        </w:rPr>
      </w:pPr>
    </w:p>
    <w:p w14:paraId="359D6593" w14:textId="5DB80107" w:rsidR="00065615" w:rsidRDefault="00065615" w:rsidP="00146EFA">
      <w:pPr>
        <w:tabs>
          <w:tab w:val="num" w:pos="720"/>
        </w:tabs>
        <w:spacing w:after="0" w:line="240" w:lineRule="auto"/>
        <w:jc w:val="both"/>
        <w:rPr>
          <w:rFonts w:ascii="Arial" w:hAnsi="Arial" w:cs="Arial"/>
          <w:color w:val="000000" w:themeColor="text1"/>
        </w:rPr>
      </w:pPr>
      <w:r>
        <w:rPr>
          <w:rFonts w:ascii="Arial" w:hAnsi="Arial" w:cs="Arial"/>
          <w:color w:val="000000" w:themeColor="text1"/>
        </w:rPr>
        <w:t xml:space="preserve">Esta conclusión encuentra soporte tanto en lo dicho por la Corte Constitucional, como por el Consejo de Estado. La primera, al declarar la exequibilidad del artículo 40 del CPACA, reconoció que la ausencia de recurso no vulnera el debido proceso, siempre que el proceso garantice el derecho de defensa en su integridad. El segundo, al analizar los vacíos normativos del procedimiento especial del artículo 86, ha señalado que la integración normativa no puede desconocer las reglas expresas en el CPACA ni </w:t>
      </w:r>
      <w:r w:rsidR="00CF65B3">
        <w:rPr>
          <w:rFonts w:ascii="Arial" w:hAnsi="Arial" w:cs="Arial"/>
          <w:color w:val="000000" w:themeColor="text1"/>
        </w:rPr>
        <w:t>extender garantías</w:t>
      </w:r>
      <w:r>
        <w:rPr>
          <w:rFonts w:ascii="Arial" w:hAnsi="Arial" w:cs="Arial"/>
          <w:color w:val="000000" w:themeColor="text1"/>
        </w:rPr>
        <w:t xml:space="preserve"> no previstas por el legislador.</w:t>
      </w:r>
    </w:p>
    <w:p w14:paraId="1CB3AACE" w14:textId="77777777" w:rsidR="00065615" w:rsidRDefault="00065615" w:rsidP="00146EFA">
      <w:pPr>
        <w:tabs>
          <w:tab w:val="num" w:pos="720"/>
        </w:tabs>
        <w:spacing w:after="0" w:line="240" w:lineRule="auto"/>
        <w:jc w:val="both"/>
        <w:rPr>
          <w:rFonts w:ascii="Arial" w:hAnsi="Arial" w:cs="Arial"/>
          <w:color w:val="000000" w:themeColor="text1"/>
        </w:rPr>
      </w:pPr>
    </w:p>
    <w:p w14:paraId="7E2070E9" w14:textId="3BF701E8" w:rsidR="003200E0" w:rsidRPr="00146EFA" w:rsidRDefault="003200E0" w:rsidP="00146EFA">
      <w:pPr>
        <w:tabs>
          <w:tab w:val="num" w:pos="720"/>
        </w:tabs>
        <w:spacing w:after="0" w:line="240" w:lineRule="auto"/>
        <w:jc w:val="both"/>
        <w:rPr>
          <w:rFonts w:ascii="Arial" w:hAnsi="Arial" w:cs="Arial"/>
          <w:color w:val="000000" w:themeColor="text1"/>
        </w:rPr>
      </w:pPr>
      <w:r>
        <w:rPr>
          <w:rFonts w:ascii="Arial" w:hAnsi="Arial" w:cs="Arial"/>
          <w:color w:val="000000" w:themeColor="text1"/>
        </w:rPr>
        <w:t xml:space="preserve">En mérito de lo expuesto, la SDHT decide: </w:t>
      </w:r>
    </w:p>
    <w:p w14:paraId="242046CA" w14:textId="77777777" w:rsidR="00146EFA" w:rsidRDefault="00146EFA" w:rsidP="00146EFA">
      <w:pPr>
        <w:tabs>
          <w:tab w:val="num" w:pos="720"/>
        </w:tabs>
        <w:spacing w:after="0" w:line="240" w:lineRule="auto"/>
        <w:jc w:val="both"/>
        <w:rPr>
          <w:rFonts w:ascii="Arial" w:hAnsi="Arial" w:cs="Arial"/>
          <w:color w:val="000000" w:themeColor="text1"/>
        </w:rPr>
      </w:pPr>
    </w:p>
    <w:p w14:paraId="61A31D4B" w14:textId="24F7A655" w:rsidR="00021203" w:rsidRPr="003200E0" w:rsidRDefault="00021203" w:rsidP="003200E0">
      <w:pPr>
        <w:pStyle w:val="Prrafodelista"/>
        <w:numPr>
          <w:ilvl w:val="0"/>
          <w:numId w:val="1"/>
        </w:numPr>
        <w:tabs>
          <w:tab w:val="num" w:pos="720"/>
        </w:tabs>
        <w:spacing w:after="0" w:line="240" w:lineRule="auto"/>
        <w:jc w:val="both"/>
        <w:rPr>
          <w:rFonts w:ascii="Arial" w:hAnsi="Arial" w:cs="Arial"/>
          <w:b/>
          <w:bCs/>
          <w:color w:val="000000" w:themeColor="text1"/>
          <w:lang w:val="es-ES"/>
        </w:rPr>
      </w:pPr>
      <w:r w:rsidRPr="003200E0">
        <w:rPr>
          <w:rFonts w:ascii="Arial" w:hAnsi="Arial" w:cs="Arial"/>
          <w:b/>
          <w:bCs/>
          <w:color w:val="000000" w:themeColor="text1"/>
          <w:lang w:val="es-ES"/>
        </w:rPr>
        <w:t xml:space="preserve">Decisión </w:t>
      </w:r>
    </w:p>
    <w:p w14:paraId="00AFE6B5" w14:textId="77777777" w:rsidR="00021203" w:rsidRDefault="00021203" w:rsidP="00021203">
      <w:pPr>
        <w:tabs>
          <w:tab w:val="left" w:pos="2940"/>
        </w:tabs>
        <w:spacing w:after="0" w:line="240" w:lineRule="auto"/>
        <w:jc w:val="both"/>
        <w:rPr>
          <w:rFonts w:ascii="Arial" w:hAnsi="Arial" w:cs="Arial"/>
          <w:color w:val="000000" w:themeColor="text1"/>
          <w:lang w:val="es-ES"/>
        </w:rPr>
      </w:pPr>
    </w:p>
    <w:p w14:paraId="4558AC79" w14:textId="6F785F51" w:rsidR="00021203" w:rsidRPr="00CF65B3" w:rsidRDefault="00021203" w:rsidP="00021203">
      <w:pPr>
        <w:tabs>
          <w:tab w:val="left" w:pos="2940"/>
        </w:tabs>
        <w:spacing w:after="0" w:line="240" w:lineRule="auto"/>
        <w:jc w:val="both"/>
        <w:rPr>
          <w:rFonts w:ascii="Arial" w:hAnsi="Arial" w:cs="Arial"/>
          <w:color w:val="000000" w:themeColor="text1"/>
          <w:lang w:val="es-ES"/>
        </w:rPr>
      </w:pPr>
      <w:r w:rsidRPr="00D02871">
        <w:rPr>
          <w:rFonts w:ascii="Arial" w:hAnsi="Arial" w:cs="Arial"/>
          <w:b/>
          <w:bCs/>
          <w:color w:val="000000" w:themeColor="text1"/>
          <w:lang w:val="es-ES"/>
        </w:rPr>
        <w:t xml:space="preserve">Primero: </w:t>
      </w:r>
      <w:r>
        <w:rPr>
          <w:rFonts w:ascii="Arial" w:hAnsi="Arial" w:cs="Arial"/>
          <w:color w:val="000000" w:themeColor="text1"/>
          <w:lang w:val="es-ES"/>
        </w:rPr>
        <w:t>Declarar improcedente la solicitud</w:t>
      </w:r>
      <w:r w:rsidR="00CF65B3">
        <w:rPr>
          <w:rFonts w:ascii="Arial" w:hAnsi="Arial" w:cs="Arial"/>
          <w:color w:val="000000" w:themeColor="text1"/>
          <w:lang w:val="es-ES"/>
        </w:rPr>
        <w:t xml:space="preserve"> de recurso de reposición y en subsidio de apelación interpuesta por el </w:t>
      </w:r>
      <w:r w:rsidR="00CF65B3" w:rsidRPr="00CF65B3">
        <w:rPr>
          <w:rFonts w:ascii="Arial" w:hAnsi="Arial" w:cs="Arial"/>
        </w:rPr>
        <w:t>CONSORCIO INTER VIVIENDA RURAL S&amp;P</w:t>
      </w:r>
      <w:r w:rsidR="00CF65B3">
        <w:rPr>
          <w:rFonts w:ascii="Arial" w:hAnsi="Arial" w:cs="Arial"/>
        </w:rPr>
        <w:t xml:space="preserve"> contra la decisión de pruebas, por las razone expuestas.</w:t>
      </w:r>
    </w:p>
    <w:p w14:paraId="2C90D4B5" w14:textId="77777777" w:rsidR="00021203" w:rsidRDefault="00021203" w:rsidP="00021203">
      <w:pPr>
        <w:tabs>
          <w:tab w:val="left" w:pos="2940"/>
        </w:tabs>
        <w:spacing w:after="0" w:line="240" w:lineRule="auto"/>
        <w:jc w:val="both"/>
        <w:rPr>
          <w:rFonts w:ascii="Arial" w:hAnsi="Arial" w:cs="Arial"/>
          <w:color w:val="000000" w:themeColor="text1"/>
          <w:lang w:val="es-ES"/>
        </w:rPr>
      </w:pPr>
    </w:p>
    <w:p w14:paraId="497075EE" w14:textId="729FC5EC" w:rsidR="00021203" w:rsidRDefault="00021203" w:rsidP="00021203">
      <w:pPr>
        <w:tabs>
          <w:tab w:val="left" w:pos="2940"/>
        </w:tabs>
        <w:spacing w:after="0" w:line="240" w:lineRule="auto"/>
        <w:jc w:val="both"/>
        <w:rPr>
          <w:rFonts w:ascii="Arial" w:hAnsi="Arial" w:cs="Arial"/>
          <w:color w:val="000000" w:themeColor="text1"/>
          <w:lang w:val="es-ES"/>
        </w:rPr>
      </w:pPr>
      <w:r w:rsidRPr="00021203">
        <w:rPr>
          <w:rFonts w:ascii="Arial" w:hAnsi="Arial" w:cs="Arial"/>
          <w:b/>
          <w:bCs/>
          <w:color w:val="000000" w:themeColor="text1"/>
          <w:lang w:val="es-ES"/>
        </w:rPr>
        <w:t>Segundo:</w:t>
      </w:r>
      <w:r>
        <w:rPr>
          <w:rFonts w:ascii="Arial" w:hAnsi="Arial" w:cs="Arial"/>
          <w:color w:val="000000" w:themeColor="text1"/>
          <w:lang w:val="es-ES"/>
        </w:rPr>
        <w:t xml:space="preserve"> </w:t>
      </w:r>
      <w:r w:rsidR="00CF65B3">
        <w:rPr>
          <w:rFonts w:ascii="Arial" w:hAnsi="Arial" w:cs="Arial"/>
          <w:color w:val="000000" w:themeColor="text1"/>
          <w:lang w:val="es-ES"/>
        </w:rPr>
        <w:t>L</w:t>
      </w:r>
      <w:r>
        <w:rPr>
          <w:rFonts w:ascii="Arial" w:hAnsi="Arial" w:cs="Arial"/>
          <w:color w:val="000000" w:themeColor="text1"/>
          <w:lang w:val="es-ES"/>
        </w:rPr>
        <w:t>a presente decisión, se entiende notificado en el presente acto público.</w:t>
      </w:r>
    </w:p>
    <w:p w14:paraId="7D6C46CD" w14:textId="7A691961" w:rsidR="00021203" w:rsidRDefault="00021203" w:rsidP="00021203">
      <w:pPr>
        <w:tabs>
          <w:tab w:val="left" w:pos="2940"/>
        </w:tabs>
        <w:spacing w:after="0" w:line="240" w:lineRule="auto"/>
        <w:jc w:val="both"/>
        <w:rPr>
          <w:rFonts w:ascii="Arial" w:hAnsi="Arial" w:cs="Arial"/>
          <w:color w:val="000000" w:themeColor="text1"/>
          <w:lang w:val="es-ES"/>
        </w:rPr>
      </w:pPr>
    </w:p>
    <w:p w14:paraId="2F7EC19F" w14:textId="7D9E572F" w:rsidR="00021203" w:rsidRDefault="00021203" w:rsidP="00D7769F">
      <w:pPr>
        <w:tabs>
          <w:tab w:val="left" w:pos="2940"/>
        </w:tabs>
        <w:spacing w:after="0" w:line="240" w:lineRule="auto"/>
        <w:jc w:val="both"/>
        <w:rPr>
          <w:rFonts w:ascii="Arial" w:hAnsi="Arial" w:cs="Arial"/>
          <w:color w:val="000000" w:themeColor="text1"/>
          <w:lang w:val="es-ES"/>
        </w:rPr>
      </w:pPr>
      <w:r w:rsidRPr="00021203">
        <w:rPr>
          <w:rFonts w:ascii="Arial" w:hAnsi="Arial" w:cs="Arial"/>
          <w:b/>
          <w:bCs/>
          <w:color w:val="000000" w:themeColor="text1"/>
          <w:lang w:val="es-ES"/>
        </w:rPr>
        <w:t>Tercero:</w:t>
      </w:r>
      <w:r>
        <w:rPr>
          <w:rFonts w:ascii="Arial" w:hAnsi="Arial" w:cs="Arial"/>
          <w:color w:val="000000" w:themeColor="text1"/>
          <w:lang w:val="es-ES"/>
        </w:rPr>
        <w:t xml:space="preserve"> Continuar </w:t>
      </w:r>
      <w:r w:rsidR="00D7769F">
        <w:rPr>
          <w:rFonts w:ascii="Arial" w:hAnsi="Arial" w:cs="Arial"/>
          <w:color w:val="000000" w:themeColor="text1"/>
          <w:lang w:val="es-ES"/>
        </w:rPr>
        <w:t xml:space="preserve">el procedimiento reglado por el artículo 86 de la Ley 1474 de 2011 </w:t>
      </w:r>
    </w:p>
    <w:p w14:paraId="75DD75B2" w14:textId="77777777" w:rsidR="00021203" w:rsidRDefault="00021203" w:rsidP="00021203">
      <w:pPr>
        <w:tabs>
          <w:tab w:val="left" w:pos="2940"/>
        </w:tabs>
        <w:spacing w:after="0" w:line="240" w:lineRule="auto"/>
        <w:jc w:val="both"/>
        <w:rPr>
          <w:rFonts w:ascii="Arial" w:hAnsi="Arial" w:cs="Arial"/>
          <w:color w:val="000000" w:themeColor="text1"/>
          <w:lang w:val="es-ES"/>
        </w:rPr>
      </w:pPr>
    </w:p>
    <w:p w14:paraId="17CB75B2" w14:textId="04FBA8ED" w:rsidR="00021203" w:rsidRDefault="00021203" w:rsidP="00021203">
      <w:pPr>
        <w:tabs>
          <w:tab w:val="left" w:pos="2940"/>
        </w:tabs>
        <w:spacing w:after="0" w:line="240" w:lineRule="auto"/>
        <w:jc w:val="both"/>
        <w:rPr>
          <w:rFonts w:ascii="Arial" w:hAnsi="Arial" w:cs="Arial"/>
          <w:color w:val="000000" w:themeColor="text1"/>
          <w:lang w:val="es-ES"/>
        </w:rPr>
      </w:pPr>
      <w:r w:rsidRPr="00021203">
        <w:rPr>
          <w:rFonts w:ascii="Arial" w:hAnsi="Arial" w:cs="Arial"/>
          <w:b/>
          <w:bCs/>
          <w:color w:val="000000" w:themeColor="text1"/>
          <w:lang w:val="es-ES"/>
        </w:rPr>
        <w:t>Cuarto:</w:t>
      </w:r>
      <w:r>
        <w:rPr>
          <w:rFonts w:ascii="Arial" w:hAnsi="Arial" w:cs="Arial"/>
          <w:color w:val="000000" w:themeColor="text1"/>
          <w:lang w:val="es-ES"/>
        </w:rPr>
        <w:t xml:space="preserve"> </w:t>
      </w:r>
      <w:bookmarkStart w:id="0" w:name="_Hlk180572387"/>
      <w:r w:rsidR="00D7769F" w:rsidRPr="00D02871">
        <w:rPr>
          <w:rFonts w:ascii="Arial" w:hAnsi="Arial" w:cs="Arial"/>
          <w:color w:val="000000" w:themeColor="text1"/>
          <w:lang w:val="es-ES"/>
        </w:rPr>
        <w:t>Contra la presente decisión no procede ningún recurso,</w:t>
      </w:r>
      <w:r w:rsidR="00D7769F">
        <w:rPr>
          <w:rFonts w:ascii="Arial" w:hAnsi="Arial" w:cs="Arial"/>
          <w:color w:val="000000" w:themeColor="text1"/>
          <w:lang w:val="es-ES"/>
        </w:rPr>
        <w:t xml:space="preserve"> de</w:t>
      </w:r>
      <w:r w:rsidR="00D7769F" w:rsidRPr="00D02871">
        <w:rPr>
          <w:rFonts w:ascii="Arial" w:hAnsi="Arial" w:cs="Arial"/>
          <w:color w:val="000000" w:themeColor="text1"/>
          <w:lang w:val="es-ES"/>
        </w:rPr>
        <w:t xml:space="preserve"> conform</w:t>
      </w:r>
      <w:r w:rsidR="00D7769F">
        <w:rPr>
          <w:rFonts w:ascii="Arial" w:hAnsi="Arial" w:cs="Arial"/>
          <w:color w:val="000000" w:themeColor="text1"/>
          <w:lang w:val="es-ES"/>
        </w:rPr>
        <w:t>idad a</w:t>
      </w:r>
      <w:r w:rsidR="00D7769F" w:rsidRPr="00D02871">
        <w:rPr>
          <w:rFonts w:ascii="Arial" w:hAnsi="Arial" w:cs="Arial"/>
          <w:color w:val="000000" w:themeColor="text1"/>
          <w:lang w:val="es-ES"/>
        </w:rPr>
        <w:t xml:space="preserve"> los artículos 74 y 75 de la Ley 1437 de 2011</w:t>
      </w:r>
      <w:r w:rsidR="00D7769F">
        <w:rPr>
          <w:rFonts w:ascii="Arial" w:hAnsi="Arial" w:cs="Arial"/>
          <w:color w:val="000000" w:themeColor="text1"/>
          <w:lang w:val="es-ES"/>
        </w:rPr>
        <w:t xml:space="preserve"> y 86 de la Ley 1474 de 2011</w:t>
      </w:r>
      <w:bookmarkEnd w:id="0"/>
    </w:p>
    <w:p w14:paraId="5A3E72BF" w14:textId="77777777" w:rsidR="00D7769F" w:rsidRDefault="00D7769F" w:rsidP="00021203">
      <w:pPr>
        <w:tabs>
          <w:tab w:val="left" w:pos="2940"/>
        </w:tabs>
        <w:spacing w:after="0" w:line="240" w:lineRule="auto"/>
        <w:jc w:val="both"/>
        <w:rPr>
          <w:rFonts w:ascii="Arial" w:hAnsi="Arial" w:cs="Arial"/>
          <w:color w:val="000000" w:themeColor="text1"/>
        </w:rPr>
      </w:pPr>
    </w:p>
    <w:p w14:paraId="2A7B78A2" w14:textId="77777777" w:rsidR="00D7769F" w:rsidRDefault="00D7769F" w:rsidP="00021203">
      <w:pPr>
        <w:tabs>
          <w:tab w:val="left" w:pos="2940"/>
        </w:tabs>
        <w:spacing w:after="0" w:line="240" w:lineRule="auto"/>
        <w:jc w:val="center"/>
        <w:rPr>
          <w:rFonts w:ascii="Arial" w:hAnsi="Arial" w:cs="Arial"/>
          <w:b/>
          <w:bCs/>
          <w:color w:val="000000" w:themeColor="text1"/>
          <w:lang w:val="es-ES"/>
        </w:rPr>
      </w:pPr>
    </w:p>
    <w:p w14:paraId="736EFBE3" w14:textId="3BF7BF87" w:rsidR="00021203" w:rsidRPr="00D02871" w:rsidRDefault="00021203" w:rsidP="00021203">
      <w:pPr>
        <w:tabs>
          <w:tab w:val="left" w:pos="2940"/>
        </w:tabs>
        <w:spacing w:after="0" w:line="240" w:lineRule="auto"/>
        <w:jc w:val="center"/>
        <w:rPr>
          <w:rFonts w:ascii="Arial" w:hAnsi="Arial" w:cs="Arial"/>
          <w:b/>
          <w:bCs/>
          <w:color w:val="000000" w:themeColor="text1"/>
          <w:lang w:val="es-ES"/>
        </w:rPr>
      </w:pPr>
      <w:r w:rsidRPr="00D02871">
        <w:rPr>
          <w:rFonts w:ascii="Arial" w:hAnsi="Arial" w:cs="Arial"/>
          <w:b/>
          <w:bCs/>
          <w:color w:val="000000" w:themeColor="text1"/>
          <w:lang w:val="es-ES"/>
        </w:rPr>
        <w:t xml:space="preserve">NOTIFÍQUESE Y CÚMPLASE </w:t>
      </w:r>
    </w:p>
    <w:p w14:paraId="03C22596" w14:textId="77777777" w:rsidR="00021203" w:rsidRPr="00D02871" w:rsidRDefault="00021203" w:rsidP="00021203">
      <w:pPr>
        <w:autoSpaceDE w:val="0"/>
        <w:autoSpaceDN w:val="0"/>
        <w:adjustRightInd w:val="0"/>
        <w:spacing w:after="0" w:line="240" w:lineRule="auto"/>
        <w:jc w:val="center"/>
        <w:rPr>
          <w:rFonts w:ascii="Arial" w:hAnsi="Arial" w:cs="Arial"/>
          <w:lang w:val="es-ES_tradnl"/>
        </w:rPr>
      </w:pPr>
    </w:p>
    <w:p w14:paraId="4A28912E" w14:textId="77777777" w:rsidR="00021203" w:rsidRPr="00D02871" w:rsidRDefault="00021203" w:rsidP="00021203">
      <w:pPr>
        <w:autoSpaceDE w:val="0"/>
        <w:autoSpaceDN w:val="0"/>
        <w:adjustRightInd w:val="0"/>
        <w:spacing w:after="0" w:line="240" w:lineRule="auto"/>
        <w:jc w:val="center"/>
        <w:rPr>
          <w:rFonts w:ascii="Arial" w:hAnsi="Arial" w:cs="Arial"/>
          <w:lang w:val="es-ES_tradnl"/>
        </w:rPr>
      </w:pPr>
    </w:p>
    <w:p w14:paraId="11567991" w14:textId="266CF928" w:rsidR="00021203" w:rsidRPr="00D02871" w:rsidRDefault="007C0960" w:rsidP="00021203">
      <w:pPr>
        <w:spacing w:after="0" w:line="240" w:lineRule="auto"/>
        <w:jc w:val="center"/>
        <w:rPr>
          <w:rFonts w:ascii="Arial" w:hAnsi="Arial" w:cs="Arial"/>
          <w:b/>
          <w:bCs/>
        </w:rPr>
      </w:pPr>
      <w:r>
        <w:rPr>
          <w:rFonts w:ascii="Arial" w:hAnsi="Arial" w:cs="Arial"/>
          <w:b/>
          <w:bCs/>
        </w:rPr>
        <w:t>ANA MILENA YELA ESCOBAR</w:t>
      </w:r>
    </w:p>
    <w:p w14:paraId="3D8259B6" w14:textId="77777777" w:rsidR="00021203" w:rsidRPr="00D02871" w:rsidRDefault="00021203" w:rsidP="00021203">
      <w:pPr>
        <w:spacing w:after="0" w:line="240" w:lineRule="auto"/>
        <w:jc w:val="center"/>
        <w:rPr>
          <w:rFonts w:ascii="Arial" w:hAnsi="Arial" w:cs="Arial"/>
        </w:rPr>
      </w:pPr>
      <w:r w:rsidRPr="00D02871">
        <w:rPr>
          <w:rFonts w:ascii="Arial" w:hAnsi="Arial" w:cs="Arial"/>
        </w:rPr>
        <w:t>SUBSECRETARIA DE GESTIÓN CORPORATIVA</w:t>
      </w:r>
    </w:p>
    <w:p w14:paraId="4CB87122" w14:textId="77777777" w:rsidR="00021203" w:rsidRPr="00D02871" w:rsidRDefault="00021203" w:rsidP="00021203">
      <w:pPr>
        <w:spacing w:after="0" w:line="240" w:lineRule="auto"/>
        <w:jc w:val="center"/>
        <w:rPr>
          <w:rFonts w:ascii="Arial" w:hAnsi="Arial" w:cs="Arial"/>
        </w:rPr>
      </w:pPr>
      <w:r w:rsidRPr="00D02871">
        <w:rPr>
          <w:rFonts w:ascii="Arial" w:hAnsi="Arial" w:cs="Arial"/>
        </w:rPr>
        <w:t>SECRETARÍA DISTRITAL DEL HÁBITAT</w:t>
      </w:r>
    </w:p>
    <w:p w14:paraId="5AD91345" w14:textId="77777777" w:rsidR="00021203" w:rsidRPr="00D02871" w:rsidRDefault="00021203" w:rsidP="00021203">
      <w:pPr>
        <w:spacing w:after="0" w:line="240" w:lineRule="auto"/>
        <w:rPr>
          <w:rFonts w:ascii="Arial" w:hAnsi="Arial" w:cs="Arial"/>
          <w:lang w:eastAsia="es-CO"/>
        </w:rPr>
      </w:pPr>
    </w:p>
    <w:p w14:paraId="54C529D0" w14:textId="77777777" w:rsidR="00021203" w:rsidRPr="00D02871" w:rsidRDefault="00021203" w:rsidP="00021203">
      <w:pPr>
        <w:spacing w:after="0" w:line="240" w:lineRule="auto"/>
        <w:rPr>
          <w:rFonts w:ascii="Arial" w:hAnsi="Arial" w:cs="Arial"/>
          <w:lang w:eastAsia="es-CO"/>
        </w:rPr>
      </w:pPr>
    </w:p>
    <w:p w14:paraId="2AE1F20C" w14:textId="77777777" w:rsidR="00021203" w:rsidRPr="00D02871" w:rsidRDefault="00021203" w:rsidP="00021203">
      <w:pPr>
        <w:spacing w:after="0" w:line="240" w:lineRule="auto"/>
        <w:rPr>
          <w:rFonts w:ascii="Arial" w:hAnsi="Arial" w:cs="Arial"/>
          <w:sz w:val="16"/>
          <w:szCs w:val="16"/>
          <w:lang w:eastAsia="es-CO"/>
        </w:rPr>
      </w:pPr>
      <w:r w:rsidRPr="00D02871">
        <w:rPr>
          <w:rFonts w:ascii="Arial" w:hAnsi="Arial" w:cs="Arial"/>
          <w:sz w:val="16"/>
          <w:szCs w:val="16"/>
          <w:lang w:eastAsia="es-CO"/>
        </w:rPr>
        <w:t>Proyectó:</w:t>
      </w:r>
      <w:r w:rsidRPr="00D02871">
        <w:rPr>
          <w:rFonts w:ascii="Arial" w:hAnsi="Arial" w:cs="Arial"/>
          <w:sz w:val="16"/>
          <w:szCs w:val="16"/>
          <w:lang w:eastAsia="es-CO"/>
        </w:rPr>
        <w:tab/>
        <w:t>Julián Gonzalez – Contratista Subdirección Administrativa</w:t>
      </w:r>
    </w:p>
    <w:p w14:paraId="212AD398" w14:textId="22F28F48" w:rsidR="00021203" w:rsidRPr="00D02871" w:rsidRDefault="00021203" w:rsidP="007C0960">
      <w:pPr>
        <w:spacing w:after="0" w:line="240" w:lineRule="auto"/>
        <w:rPr>
          <w:rFonts w:ascii="Arial" w:hAnsi="Arial" w:cs="Arial"/>
          <w:sz w:val="16"/>
          <w:szCs w:val="16"/>
          <w:lang w:eastAsia="es-CO"/>
        </w:rPr>
      </w:pPr>
      <w:r w:rsidRPr="00D02871">
        <w:rPr>
          <w:rFonts w:ascii="Arial" w:hAnsi="Arial" w:cs="Arial"/>
          <w:sz w:val="16"/>
          <w:szCs w:val="16"/>
          <w:lang w:eastAsia="es-CO"/>
        </w:rPr>
        <w:tab/>
        <w:t>Reviso:</w:t>
      </w:r>
      <w:r w:rsidRPr="00D02871">
        <w:rPr>
          <w:rFonts w:ascii="Arial" w:hAnsi="Arial" w:cs="Arial"/>
          <w:sz w:val="16"/>
          <w:szCs w:val="16"/>
          <w:lang w:eastAsia="es-CO"/>
        </w:rPr>
        <w:tab/>
      </w:r>
      <w:r w:rsidR="007C0960">
        <w:rPr>
          <w:rFonts w:ascii="Arial" w:hAnsi="Arial" w:cs="Arial"/>
          <w:sz w:val="16"/>
          <w:szCs w:val="16"/>
          <w:lang w:eastAsia="es-CO"/>
        </w:rPr>
        <w:t>William Ernesto González Arias</w:t>
      </w:r>
    </w:p>
    <w:p w14:paraId="4A6642D2" w14:textId="7668BFD0" w:rsidR="00021203" w:rsidRPr="00D02871" w:rsidRDefault="00032BA9" w:rsidP="00021203">
      <w:pPr>
        <w:spacing w:after="0" w:line="240" w:lineRule="auto"/>
        <w:rPr>
          <w:rFonts w:ascii="Arial" w:hAnsi="Arial" w:cs="Arial"/>
          <w:sz w:val="16"/>
          <w:szCs w:val="16"/>
          <w:lang w:eastAsia="es-CO"/>
        </w:rPr>
      </w:pPr>
      <w:r>
        <w:rPr>
          <w:rFonts w:ascii="Arial" w:hAnsi="Arial" w:cs="Arial"/>
          <w:sz w:val="16"/>
          <w:szCs w:val="16"/>
          <w:lang w:eastAsia="es-CO"/>
        </w:rPr>
        <w:t xml:space="preserve"> </w:t>
      </w:r>
    </w:p>
    <w:p w14:paraId="2ACB06F0" w14:textId="77777777" w:rsidR="00146EFA" w:rsidRDefault="00146EFA" w:rsidP="0047286C">
      <w:pPr>
        <w:spacing w:after="0" w:line="240" w:lineRule="auto"/>
        <w:jc w:val="both"/>
        <w:rPr>
          <w:rFonts w:ascii="Arial" w:hAnsi="Arial" w:cs="Arial"/>
          <w:color w:val="000000" w:themeColor="text1"/>
        </w:rPr>
      </w:pPr>
    </w:p>
    <w:p w14:paraId="5B63B8D5" w14:textId="77777777" w:rsidR="0014224D" w:rsidRDefault="0014224D" w:rsidP="0047286C">
      <w:pPr>
        <w:spacing w:after="0" w:line="240" w:lineRule="auto"/>
        <w:jc w:val="both"/>
        <w:rPr>
          <w:rFonts w:ascii="Arial" w:hAnsi="Arial" w:cs="Arial"/>
          <w:color w:val="000000" w:themeColor="text1"/>
        </w:rPr>
      </w:pPr>
    </w:p>
    <w:sectPr w:rsidR="0014224D" w:rsidSect="002B329B">
      <w:headerReference w:type="default" r:id="rId8"/>
      <w:footerReference w:type="default" r:id="rId9"/>
      <w:pgSz w:w="12240" w:h="15840"/>
      <w:pgMar w:top="1417" w:right="1701" w:bottom="1417" w:left="1701" w:header="708"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B3A97" w14:textId="77777777" w:rsidR="002D5B2C" w:rsidRDefault="002D5B2C" w:rsidP="00F2418D">
      <w:pPr>
        <w:spacing w:after="0" w:line="240" w:lineRule="auto"/>
      </w:pPr>
      <w:r>
        <w:separator/>
      </w:r>
    </w:p>
  </w:endnote>
  <w:endnote w:type="continuationSeparator" w:id="0">
    <w:p w14:paraId="66153B3D" w14:textId="77777777" w:rsidR="002D5B2C" w:rsidRDefault="002D5B2C" w:rsidP="00F2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773CF7AE" w14:paraId="5CA1DD08" w14:textId="77777777" w:rsidTr="00A60951">
      <w:trPr>
        <w:trHeight w:val="300"/>
      </w:trPr>
      <w:tc>
        <w:tcPr>
          <w:tcW w:w="2945" w:type="dxa"/>
        </w:tcPr>
        <w:p w14:paraId="2D8F4C0B" w14:textId="1B95C5D6" w:rsidR="773CF7AE" w:rsidRDefault="773CF7AE" w:rsidP="00A60951">
          <w:pPr>
            <w:pStyle w:val="Encabezado"/>
            <w:ind w:left="-115"/>
          </w:pPr>
        </w:p>
      </w:tc>
      <w:tc>
        <w:tcPr>
          <w:tcW w:w="2945" w:type="dxa"/>
        </w:tcPr>
        <w:p w14:paraId="6AAA72EF" w14:textId="6FA73F07" w:rsidR="773CF7AE" w:rsidRDefault="773CF7AE" w:rsidP="00A60951">
          <w:pPr>
            <w:pStyle w:val="Encabezado"/>
            <w:jc w:val="center"/>
          </w:pPr>
        </w:p>
      </w:tc>
      <w:tc>
        <w:tcPr>
          <w:tcW w:w="2945" w:type="dxa"/>
        </w:tcPr>
        <w:p w14:paraId="0F785743" w14:textId="6E471F41" w:rsidR="773CF7AE" w:rsidRDefault="773CF7AE" w:rsidP="00A60951">
          <w:pPr>
            <w:pStyle w:val="Encabezado"/>
            <w:ind w:right="-115"/>
            <w:jc w:val="right"/>
          </w:pPr>
        </w:p>
      </w:tc>
    </w:tr>
  </w:tbl>
  <w:p w14:paraId="364ECFF2" w14:textId="77777777" w:rsidR="002B329B" w:rsidRDefault="002B329B" w:rsidP="002B329B">
    <w:pPr>
      <w:pStyle w:val="Piedepgina"/>
      <w:ind w:right="360"/>
    </w:pPr>
    <w:r>
      <w:rPr>
        <w:noProof/>
        <w:lang w:val="es-419" w:eastAsia="es-419"/>
      </w:rPr>
      <w:drawing>
        <wp:anchor distT="0" distB="0" distL="114300" distR="114300" simplePos="0" relativeHeight="251662336" behindDoc="0" locked="0" layoutInCell="1" allowOverlap="1" wp14:anchorId="0975F420" wp14:editId="0D232CC5">
          <wp:simplePos x="0" y="0"/>
          <wp:positionH relativeFrom="margin">
            <wp:align>center</wp:align>
          </wp:positionH>
          <wp:positionV relativeFrom="page">
            <wp:posOffset>9173088</wp:posOffset>
          </wp:positionV>
          <wp:extent cx="1479550" cy="466725"/>
          <wp:effectExtent l="0" t="0" r="6350" b="3175"/>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266289698"/>
                  <pic:cNvPicPr/>
                </pic:nvPicPr>
                <pic:blipFill>
                  <a:blip r:embed="rId1">
                    <a:extLst>
                      <a:ext uri="{28A0092B-C50C-407E-A947-70E740481C1C}">
                        <a14:useLocalDpi xmlns:a14="http://schemas.microsoft.com/office/drawing/2010/main" val="0"/>
                      </a:ext>
                    </a:extLst>
                  </a:blip>
                  <a:stretch>
                    <a:fillRect/>
                  </a:stretch>
                </pic:blipFill>
                <pic:spPr>
                  <a:xfrm>
                    <a:off x="0" y="0"/>
                    <a:ext cx="1479550" cy="466725"/>
                  </a:xfrm>
                  <a:prstGeom prst="rect">
                    <a:avLst/>
                  </a:prstGeom>
                </pic:spPr>
              </pic:pic>
            </a:graphicData>
          </a:graphic>
          <wp14:sizeRelH relativeFrom="page">
            <wp14:pctWidth>0</wp14:pctWidth>
          </wp14:sizeRelH>
          <wp14:sizeRelV relativeFrom="page">
            <wp14:pctHeight>0</wp14:pctHeight>
          </wp14:sizeRelV>
        </wp:anchor>
      </w:drawing>
    </w:r>
    <w:r w:rsidRPr="00D26307">
      <w:rPr>
        <w:noProof/>
      </w:rPr>
      <w:drawing>
        <wp:anchor distT="0" distB="0" distL="114300" distR="114300" simplePos="0" relativeHeight="251661312" behindDoc="0" locked="0" layoutInCell="1" allowOverlap="1" wp14:anchorId="19793D70" wp14:editId="5B36AA2F">
          <wp:simplePos x="0" y="0"/>
          <wp:positionH relativeFrom="column">
            <wp:posOffset>-714375</wp:posOffset>
          </wp:positionH>
          <wp:positionV relativeFrom="page">
            <wp:posOffset>9170670</wp:posOffset>
          </wp:positionV>
          <wp:extent cx="1282700" cy="698500"/>
          <wp:effectExtent l="0" t="0" r="0" b="0"/>
          <wp:wrapSquare wrapText="bothSides"/>
          <wp:docPr id="1960818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2">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p>
  <w:sdt>
    <w:sdtPr>
      <w:rPr>
        <w:rStyle w:val="Nmerodepgina"/>
        <w:sz w:val="20"/>
        <w:szCs w:val="20"/>
      </w:rPr>
      <w:id w:val="-1244802550"/>
      <w:docPartObj>
        <w:docPartGallery w:val="Page Numbers (Bottom of Page)"/>
        <w:docPartUnique/>
      </w:docPartObj>
    </w:sdtPr>
    <w:sdtContent>
      <w:p w14:paraId="088C4D16" w14:textId="77777777" w:rsidR="002B329B" w:rsidRPr="0088181D" w:rsidRDefault="002B329B" w:rsidP="002B329B">
        <w:pPr>
          <w:pStyle w:val="Piedepgina"/>
          <w:framePr w:wrap="none" w:vAnchor="text" w:hAnchor="page" w:x="10220" w:y="824"/>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Pr>
            <w:rStyle w:val="Nmerodepgina"/>
            <w:b/>
            <w:bC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Pr>
            <w:rStyle w:val="Nmerodepgina"/>
            <w:b/>
            <w:bCs/>
          </w:rPr>
          <w:t>2</w:t>
        </w:r>
        <w:r w:rsidRPr="003574AC">
          <w:rPr>
            <w:rStyle w:val="Nmerodepgina"/>
            <w:b/>
            <w:bCs/>
            <w:sz w:val="20"/>
            <w:szCs w:val="20"/>
          </w:rPr>
          <w:fldChar w:fldCharType="end"/>
        </w:r>
      </w:p>
    </w:sdtContent>
  </w:sdt>
  <w:p w14:paraId="3B46A8C6" w14:textId="2F274145" w:rsidR="773CF7AE" w:rsidRDefault="773CF7AE" w:rsidP="00A609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8FFF" w14:textId="77777777" w:rsidR="002D5B2C" w:rsidRDefault="002D5B2C" w:rsidP="00F2418D">
      <w:pPr>
        <w:spacing w:after="0" w:line="240" w:lineRule="auto"/>
      </w:pPr>
      <w:r>
        <w:separator/>
      </w:r>
    </w:p>
  </w:footnote>
  <w:footnote w:type="continuationSeparator" w:id="0">
    <w:p w14:paraId="3F8097DA" w14:textId="77777777" w:rsidR="002D5B2C" w:rsidRDefault="002D5B2C" w:rsidP="00F2418D">
      <w:pPr>
        <w:spacing w:after="0" w:line="240" w:lineRule="auto"/>
      </w:pPr>
      <w:r>
        <w:continuationSeparator/>
      </w:r>
    </w:p>
  </w:footnote>
  <w:footnote w:id="1">
    <w:p w14:paraId="5698F718" w14:textId="35EA5EDA" w:rsidR="00F2418D" w:rsidRPr="00F72EDE" w:rsidRDefault="00F2418D" w:rsidP="0083300A">
      <w:pPr>
        <w:pStyle w:val="Textonotapie"/>
        <w:rPr>
          <w:rFonts w:ascii="Arial" w:hAnsi="Arial" w:cs="Arial"/>
        </w:rPr>
      </w:pPr>
      <w:r w:rsidRPr="00F72EDE">
        <w:rPr>
          <w:rStyle w:val="Refdenotaalpie"/>
          <w:rFonts w:ascii="Arial" w:hAnsi="Arial" w:cs="Arial"/>
        </w:rPr>
        <w:footnoteRef/>
      </w:r>
      <w:r w:rsidRPr="00F72EDE">
        <w:rPr>
          <w:rFonts w:ascii="Arial" w:hAnsi="Arial" w:cs="Arial"/>
        </w:rPr>
        <w:t xml:space="preserve"> </w:t>
      </w:r>
      <w:r w:rsidR="00C03A42">
        <w:rPr>
          <w:rFonts w:ascii="Arial" w:hAnsi="Arial" w:cs="Arial"/>
          <w:sz w:val="18"/>
          <w:szCs w:val="18"/>
        </w:rPr>
        <w:t>Minuto 25:02 a 36-16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0F4E2" w14:textId="00D31A6E" w:rsidR="002B329B" w:rsidRDefault="002B329B" w:rsidP="00EC20E1">
    <w:pPr>
      <w:pStyle w:val="Encabezado"/>
      <w:jc w:val="center"/>
      <w:rPr>
        <w:rFonts w:ascii="Arial" w:hAnsi="Arial" w:cs="Arial"/>
        <w:b/>
        <w:bCs/>
        <w:color w:val="000000" w:themeColor="text1"/>
        <w:lang w:val="es-ES"/>
      </w:rPr>
    </w:pPr>
    <w:r w:rsidRPr="00D26307">
      <w:rPr>
        <w:noProof/>
      </w:rPr>
      <w:drawing>
        <wp:anchor distT="0" distB="0" distL="114300" distR="114300" simplePos="0" relativeHeight="251659264" behindDoc="0" locked="0" layoutInCell="1" allowOverlap="1" wp14:anchorId="3DA9AF39" wp14:editId="4DF0B701">
          <wp:simplePos x="0" y="0"/>
          <wp:positionH relativeFrom="margin">
            <wp:posOffset>2167043</wp:posOffset>
          </wp:positionH>
          <wp:positionV relativeFrom="page">
            <wp:posOffset>421852</wp:posOffset>
          </wp:positionV>
          <wp:extent cx="1333500" cy="4699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6C01913F" w14:textId="77777777" w:rsidR="002B329B" w:rsidRDefault="002B329B" w:rsidP="00EC20E1">
    <w:pPr>
      <w:pStyle w:val="Encabezado"/>
      <w:jc w:val="center"/>
      <w:rPr>
        <w:rFonts w:ascii="Arial" w:hAnsi="Arial" w:cs="Arial"/>
        <w:b/>
        <w:bCs/>
        <w:color w:val="000000" w:themeColor="text1"/>
        <w:lang w:val="es-ES"/>
      </w:rPr>
    </w:pPr>
  </w:p>
  <w:p w14:paraId="643D424E" w14:textId="77777777" w:rsidR="002B329B" w:rsidRDefault="002B329B" w:rsidP="00EC20E1">
    <w:pPr>
      <w:pStyle w:val="Encabezado"/>
      <w:jc w:val="center"/>
      <w:rPr>
        <w:rFonts w:ascii="Arial" w:hAnsi="Arial" w:cs="Arial"/>
        <w:b/>
        <w:bCs/>
        <w:color w:val="000000" w:themeColor="text1"/>
        <w:lang w:val="es-ES"/>
      </w:rPr>
    </w:pPr>
  </w:p>
  <w:p w14:paraId="51804DB0" w14:textId="77777777" w:rsidR="002B329B" w:rsidRDefault="002B329B" w:rsidP="00EC20E1">
    <w:pPr>
      <w:pStyle w:val="Encabezado"/>
      <w:jc w:val="center"/>
      <w:rPr>
        <w:rFonts w:ascii="Arial" w:hAnsi="Arial" w:cs="Arial"/>
        <w:b/>
        <w:bCs/>
        <w:color w:val="000000" w:themeColor="text1"/>
        <w:lang w:val="es-ES"/>
      </w:rPr>
    </w:pPr>
  </w:p>
  <w:p w14:paraId="604CD53F" w14:textId="30E049C7" w:rsidR="00EC20E1" w:rsidRDefault="00EC20E1" w:rsidP="00EC20E1">
    <w:pPr>
      <w:pStyle w:val="Encabezado"/>
      <w:jc w:val="center"/>
    </w:pPr>
    <w:r w:rsidRPr="00EC20E1">
      <w:rPr>
        <w:rFonts w:ascii="Arial" w:hAnsi="Arial" w:cs="Arial"/>
        <w:b/>
        <w:bCs/>
        <w:color w:val="000000" w:themeColor="text1"/>
        <w:lang w:val="es-ES"/>
      </w:rPr>
      <w:t xml:space="preserve">Auto No. </w:t>
    </w:r>
    <w:r w:rsidR="009954C4">
      <w:rPr>
        <w:rFonts w:ascii="Arial" w:hAnsi="Arial" w:cs="Arial"/>
        <w:b/>
        <w:bCs/>
        <w:color w:val="000000" w:themeColor="text1"/>
        <w:lang w:val="es-ES"/>
      </w:rPr>
      <w:t>2</w:t>
    </w:r>
    <w:r w:rsidRPr="00EC20E1">
      <w:rPr>
        <w:rFonts w:ascii="Arial" w:hAnsi="Arial" w:cs="Arial"/>
        <w:b/>
        <w:bCs/>
        <w:color w:val="000000" w:themeColor="text1"/>
        <w:lang w:val="es-ES"/>
      </w:rPr>
      <w:t xml:space="preserve"> proferido en el marco del proceso administrativo sancionatorio tramitado por el presunto incumplimiento del </w:t>
    </w:r>
    <w:r w:rsidR="002B329B">
      <w:rPr>
        <w:rFonts w:ascii="Arial" w:hAnsi="Arial" w:cs="Arial"/>
        <w:b/>
        <w:bCs/>
        <w:color w:val="000000" w:themeColor="text1"/>
        <w:lang w:val="es-ES"/>
      </w:rPr>
      <w:t>C</w:t>
    </w:r>
    <w:r w:rsidRPr="00EC20E1">
      <w:rPr>
        <w:rFonts w:ascii="Arial" w:hAnsi="Arial" w:cs="Arial"/>
        <w:b/>
        <w:bCs/>
        <w:color w:val="000000" w:themeColor="text1"/>
        <w:lang w:val="es-ES"/>
      </w:rPr>
      <w:t xml:space="preserve">ontrato </w:t>
    </w:r>
    <w:r w:rsidR="002B329B">
      <w:rPr>
        <w:rFonts w:ascii="Arial" w:hAnsi="Arial" w:cs="Arial"/>
        <w:b/>
        <w:bCs/>
        <w:color w:val="000000" w:themeColor="text1"/>
        <w:lang w:val="es-ES"/>
      </w:rPr>
      <w:t xml:space="preserve">No. </w:t>
    </w:r>
    <w:r w:rsidR="0083300A">
      <w:rPr>
        <w:rFonts w:ascii="Arial" w:hAnsi="Arial" w:cs="Arial"/>
        <w:b/>
        <w:bCs/>
        <w:color w:val="000000" w:themeColor="text1"/>
        <w:lang w:val="es-ES"/>
      </w:rPr>
      <w:t>1135</w:t>
    </w:r>
    <w:r w:rsidRPr="00EC20E1">
      <w:rPr>
        <w:rFonts w:ascii="Arial" w:hAnsi="Arial" w:cs="Arial"/>
        <w:b/>
        <w:bCs/>
        <w:color w:val="000000" w:themeColor="text1"/>
        <w:lang w:val="es-ES"/>
      </w:rPr>
      <w:t xml:space="preserve"> de 202</w:t>
    </w:r>
    <w:r w:rsidR="0083300A">
      <w:rPr>
        <w:rFonts w:ascii="Arial" w:hAnsi="Arial" w:cs="Arial"/>
        <w:b/>
        <w:bCs/>
        <w:color w:val="000000" w:themeColor="text1"/>
        <w:lang w:val="es-ES"/>
      </w:rPr>
      <w:t>2</w:t>
    </w:r>
    <w:r>
      <w:t>.</w:t>
    </w:r>
  </w:p>
  <w:p w14:paraId="617A079B" w14:textId="77777777" w:rsidR="00EC20E1" w:rsidRDefault="00EC20E1" w:rsidP="00EC20E1">
    <w:pPr>
      <w:autoSpaceDE w:val="0"/>
      <w:autoSpaceDN w:val="0"/>
      <w:adjustRightInd w:val="0"/>
      <w:spacing w:after="0" w:line="240" w:lineRule="auto"/>
      <w:jc w:val="both"/>
      <w:rPr>
        <w:rFonts w:ascii="Arial" w:hAnsi="Arial" w:cs="Arial"/>
        <w:b/>
        <w:bCs/>
        <w:color w:val="000000" w:themeColor="text1"/>
        <w:lang w:val="es-ES"/>
      </w:rPr>
    </w:pPr>
  </w:p>
  <w:p w14:paraId="5E9CB261" w14:textId="46E03B69" w:rsidR="00EC20E1" w:rsidRPr="0083300A" w:rsidRDefault="773CF7AE" w:rsidP="0083300A">
    <w:pPr>
      <w:pStyle w:val="Default"/>
      <w:jc w:val="both"/>
      <w:rPr>
        <w:rFonts w:ascii="Arial" w:hAnsi="Arial" w:cs="Arial"/>
        <w:i/>
        <w:iCs/>
        <w:color w:val="000000" w:themeColor="text1"/>
        <w:sz w:val="22"/>
        <w:szCs w:val="22"/>
        <w:lang w:val="es-ES"/>
      </w:rPr>
    </w:pPr>
    <w:r w:rsidRPr="0083300A">
      <w:rPr>
        <w:rFonts w:ascii="Arial" w:hAnsi="Arial" w:cs="Arial"/>
        <w:i/>
        <w:iCs/>
        <w:color w:val="000000" w:themeColor="text1"/>
        <w:sz w:val="22"/>
        <w:szCs w:val="22"/>
        <w:lang w:val="es-ES"/>
      </w:rPr>
      <w:t xml:space="preserve">Por medio del cual </w:t>
    </w:r>
    <w:r w:rsidR="009954C4">
      <w:rPr>
        <w:rFonts w:ascii="Arial" w:hAnsi="Arial" w:cs="Arial"/>
        <w:i/>
        <w:iCs/>
        <w:color w:val="000000" w:themeColor="text1"/>
        <w:sz w:val="22"/>
        <w:szCs w:val="22"/>
        <w:lang w:val="es-ES"/>
      </w:rPr>
      <w:t xml:space="preserve">decide </w:t>
    </w:r>
    <w:r w:rsidRPr="0083300A">
      <w:rPr>
        <w:rFonts w:ascii="Arial" w:hAnsi="Arial" w:cs="Arial"/>
        <w:i/>
        <w:iCs/>
        <w:color w:val="000000" w:themeColor="text1"/>
        <w:sz w:val="22"/>
        <w:szCs w:val="22"/>
        <w:lang w:val="es-ES"/>
      </w:rPr>
      <w:t xml:space="preserve">la solicitud de </w:t>
    </w:r>
    <w:r w:rsidR="009954C4">
      <w:rPr>
        <w:rFonts w:ascii="Arial" w:hAnsi="Arial" w:cs="Arial"/>
        <w:i/>
        <w:iCs/>
        <w:color w:val="000000" w:themeColor="text1"/>
        <w:sz w:val="22"/>
        <w:szCs w:val="22"/>
        <w:lang w:val="es-ES"/>
      </w:rPr>
      <w:t>un recurso de reposición y subsidio de apelación</w:t>
    </w:r>
    <w:r w:rsidRPr="0083300A">
      <w:rPr>
        <w:rFonts w:ascii="Arial" w:hAnsi="Arial" w:cs="Arial"/>
        <w:i/>
        <w:iCs/>
        <w:color w:val="000000" w:themeColor="text1"/>
        <w:sz w:val="22"/>
        <w:szCs w:val="22"/>
        <w:lang w:val="es-ES"/>
      </w:rPr>
      <w:t xml:space="preserve">, dentro del proceso administrativo contractual tramitado en contra de </w:t>
    </w:r>
    <w:r w:rsidR="0083300A" w:rsidRPr="0083300A">
      <w:rPr>
        <w:rFonts w:ascii="Arial" w:hAnsi="Arial" w:cs="Arial"/>
        <w:i/>
        <w:iCs/>
        <w:sz w:val="22"/>
        <w:szCs w:val="22"/>
      </w:rPr>
      <w:t>CONSORCIO INTER VIVIENDA RURAL S&amp;P</w:t>
    </w:r>
    <w:r w:rsidRPr="0083300A">
      <w:rPr>
        <w:rFonts w:ascii="Arial" w:hAnsi="Arial" w:cs="Arial"/>
        <w:i/>
        <w:iCs/>
        <w:color w:val="000000" w:themeColor="text1"/>
        <w:sz w:val="22"/>
        <w:szCs w:val="22"/>
        <w:lang w:val="es-ES"/>
      </w:rPr>
      <w:t xml:space="preserve">, por la ejecución del Contrato </w:t>
    </w:r>
    <w:r w:rsidR="00676E93">
      <w:rPr>
        <w:rFonts w:ascii="Arial" w:hAnsi="Arial" w:cs="Arial"/>
        <w:i/>
        <w:iCs/>
        <w:color w:val="000000" w:themeColor="text1"/>
        <w:sz w:val="22"/>
        <w:szCs w:val="22"/>
        <w:lang w:val="es-ES"/>
      </w:rPr>
      <w:t>1135</w:t>
    </w:r>
    <w:r w:rsidRPr="0083300A">
      <w:rPr>
        <w:rFonts w:ascii="Arial" w:hAnsi="Arial" w:cs="Arial"/>
        <w:i/>
        <w:iCs/>
        <w:color w:val="000000" w:themeColor="text1"/>
        <w:sz w:val="22"/>
        <w:szCs w:val="22"/>
        <w:lang w:val="es-ES"/>
      </w:rPr>
      <w:t xml:space="preserve"> de 202</w:t>
    </w:r>
    <w:r w:rsidR="00676E93">
      <w:rPr>
        <w:rFonts w:ascii="Arial" w:hAnsi="Arial" w:cs="Arial"/>
        <w:i/>
        <w:iCs/>
        <w:color w:val="000000" w:themeColor="text1"/>
        <w:sz w:val="22"/>
        <w:szCs w:val="22"/>
        <w:lang w:val="es-ES"/>
      </w:rPr>
      <w:t>2</w:t>
    </w:r>
    <w:r w:rsidRPr="0083300A">
      <w:rPr>
        <w:rFonts w:ascii="Arial" w:hAnsi="Arial" w:cs="Arial"/>
        <w:i/>
        <w:iCs/>
        <w:color w:val="000000" w:themeColor="text1"/>
        <w:sz w:val="22"/>
        <w:szCs w:val="22"/>
        <w:lang w:val="es-ES"/>
      </w:rPr>
      <w:t>.</w:t>
    </w:r>
  </w:p>
  <w:p w14:paraId="7E696971" w14:textId="2F4E9EC8" w:rsidR="773CF7AE" w:rsidRDefault="773CF7AE" w:rsidP="773CF7AE">
    <w:pPr>
      <w:spacing w:after="0" w:line="240" w:lineRule="auto"/>
      <w:jc w:val="both"/>
      <w:rPr>
        <w:rFonts w:ascii="Arial" w:hAnsi="Arial" w:cs="Arial"/>
        <w:i/>
        <w:iCs/>
        <w:color w:val="000000" w:themeColor="text1"/>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22D"/>
    <w:multiLevelType w:val="multilevel"/>
    <w:tmpl w:val="A8488654"/>
    <w:lvl w:ilvl="0">
      <w:start w:val="1"/>
      <w:numFmt w:val="decimal"/>
      <w:lvlText w:val="%1."/>
      <w:lvlJc w:val="left"/>
      <w:pPr>
        <w:ind w:left="720" w:hanging="360"/>
      </w:pPr>
      <w:rPr>
        <w:rFonts w:ascii="Arial" w:hAnsi="Arial" w:cs="Arial" w:hint="default"/>
        <w:b/>
        <w:color w:val="000000" w:themeColor="text1"/>
        <w:sz w:val="24"/>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785F58"/>
    <w:multiLevelType w:val="hybridMultilevel"/>
    <w:tmpl w:val="4F5A80EE"/>
    <w:lvl w:ilvl="0" w:tplc="EE5A9EAA">
      <w:start w:val="1"/>
      <w:numFmt w:val="decimal"/>
      <w:lvlText w:val="%1."/>
      <w:lvlJc w:val="left"/>
      <w:pPr>
        <w:ind w:left="1065" w:hanging="360"/>
      </w:pPr>
      <w:rPr>
        <w:rFonts w:hint="default"/>
      </w:rPr>
    </w:lvl>
    <w:lvl w:ilvl="1" w:tplc="240A0019" w:tentative="1">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2" w15:restartNumberingAfterBreak="0">
    <w:nsid w:val="214B5F46"/>
    <w:multiLevelType w:val="multilevel"/>
    <w:tmpl w:val="B29C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E55FB"/>
    <w:multiLevelType w:val="hybridMultilevel"/>
    <w:tmpl w:val="1356199A"/>
    <w:lvl w:ilvl="0" w:tplc="A19EC9C4">
      <w:start w:val="1"/>
      <w:numFmt w:val="lowerRoman"/>
      <w:lvlText w:val="%1)"/>
      <w:lvlJc w:val="left"/>
      <w:pPr>
        <w:ind w:left="780" w:hanging="720"/>
      </w:pPr>
      <w:rPr>
        <w:rFonts w:hint="default"/>
      </w:rPr>
    </w:lvl>
    <w:lvl w:ilvl="1" w:tplc="240A0019">
      <w:start w:val="1"/>
      <w:numFmt w:val="lowerLetter"/>
      <w:lvlText w:val="%2."/>
      <w:lvlJc w:val="left"/>
      <w:pPr>
        <w:ind w:left="1140" w:hanging="360"/>
      </w:pPr>
    </w:lvl>
    <w:lvl w:ilvl="2" w:tplc="240A001B">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 w15:restartNumberingAfterBreak="0">
    <w:nsid w:val="5CF14BD7"/>
    <w:multiLevelType w:val="hybridMultilevel"/>
    <w:tmpl w:val="5344D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43113311">
    <w:abstractNumId w:val="0"/>
  </w:num>
  <w:num w:numId="2" w16cid:durableId="638803128">
    <w:abstractNumId w:val="3"/>
  </w:num>
  <w:num w:numId="3" w16cid:durableId="614408231">
    <w:abstractNumId w:val="2"/>
  </w:num>
  <w:num w:numId="4" w16cid:durableId="1640186303">
    <w:abstractNumId w:val="1"/>
  </w:num>
  <w:num w:numId="5" w16cid:durableId="1121193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18D"/>
    <w:rsid w:val="00021203"/>
    <w:rsid w:val="00032BA9"/>
    <w:rsid w:val="00065615"/>
    <w:rsid w:val="00075B6D"/>
    <w:rsid w:val="00084D26"/>
    <w:rsid w:val="000C6CD6"/>
    <w:rsid w:val="000D1E2A"/>
    <w:rsid w:val="000F5C7D"/>
    <w:rsid w:val="00131A9E"/>
    <w:rsid w:val="0014224D"/>
    <w:rsid w:val="00146EFA"/>
    <w:rsid w:val="00172D5B"/>
    <w:rsid w:val="00193F41"/>
    <w:rsid w:val="001E2A8A"/>
    <w:rsid w:val="001E2FBB"/>
    <w:rsid w:val="002177F9"/>
    <w:rsid w:val="00273DC3"/>
    <w:rsid w:val="002B329B"/>
    <w:rsid w:val="002D23E8"/>
    <w:rsid w:val="002D5B2C"/>
    <w:rsid w:val="002F0414"/>
    <w:rsid w:val="00311B28"/>
    <w:rsid w:val="003200E0"/>
    <w:rsid w:val="00333849"/>
    <w:rsid w:val="0034765C"/>
    <w:rsid w:val="00355A5B"/>
    <w:rsid w:val="003D3BAF"/>
    <w:rsid w:val="003D4988"/>
    <w:rsid w:val="003D4B57"/>
    <w:rsid w:val="0040345D"/>
    <w:rsid w:val="00425589"/>
    <w:rsid w:val="0047286C"/>
    <w:rsid w:val="00497909"/>
    <w:rsid w:val="004C1832"/>
    <w:rsid w:val="004E7D1B"/>
    <w:rsid w:val="005111CC"/>
    <w:rsid w:val="0054115E"/>
    <w:rsid w:val="005943E2"/>
    <w:rsid w:val="005B6368"/>
    <w:rsid w:val="005C2B04"/>
    <w:rsid w:val="005D19FB"/>
    <w:rsid w:val="006018DC"/>
    <w:rsid w:val="00662EE5"/>
    <w:rsid w:val="00676E93"/>
    <w:rsid w:val="00704003"/>
    <w:rsid w:val="00710A63"/>
    <w:rsid w:val="00743CD0"/>
    <w:rsid w:val="0075512F"/>
    <w:rsid w:val="00771BE8"/>
    <w:rsid w:val="00773A0D"/>
    <w:rsid w:val="007836AF"/>
    <w:rsid w:val="007B3E15"/>
    <w:rsid w:val="007C0960"/>
    <w:rsid w:val="007F0B4F"/>
    <w:rsid w:val="008147F4"/>
    <w:rsid w:val="0083300A"/>
    <w:rsid w:val="008357B4"/>
    <w:rsid w:val="008B14BB"/>
    <w:rsid w:val="008D051C"/>
    <w:rsid w:val="008D3D0F"/>
    <w:rsid w:val="00947610"/>
    <w:rsid w:val="00972BD5"/>
    <w:rsid w:val="009954C4"/>
    <w:rsid w:val="009F7C14"/>
    <w:rsid w:val="00A015DA"/>
    <w:rsid w:val="00A03907"/>
    <w:rsid w:val="00A52237"/>
    <w:rsid w:val="00A60951"/>
    <w:rsid w:val="00A86034"/>
    <w:rsid w:val="00B11EA1"/>
    <w:rsid w:val="00B254F2"/>
    <w:rsid w:val="00BB4A1F"/>
    <w:rsid w:val="00BB64B3"/>
    <w:rsid w:val="00BF4302"/>
    <w:rsid w:val="00C01CFE"/>
    <w:rsid w:val="00C03A42"/>
    <w:rsid w:val="00C7609E"/>
    <w:rsid w:val="00C93AF4"/>
    <w:rsid w:val="00CE757F"/>
    <w:rsid w:val="00CF65B3"/>
    <w:rsid w:val="00D15F97"/>
    <w:rsid w:val="00D465BE"/>
    <w:rsid w:val="00D7769F"/>
    <w:rsid w:val="00DA6828"/>
    <w:rsid w:val="00DB61AC"/>
    <w:rsid w:val="00E82F7D"/>
    <w:rsid w:val="00E90BA7"/>
    <w:rsid w:val="00EA0BF0"/>
    <w:rsid w:val="00EA43CF"/>
    <w:rsid w:val="00EC20E1"/>
    <w:rsid w:val="00F2418D"/>
    <w:rsid w:val="00F4584E"/>
    <w:rsid w:val="00F64085"/>
    <w:rsid w:val="00F6422B"/>
    <w:rsid w:val="00F9301A"/>
    <w:rsid w:val="03CDFAE1"/>
    <w:rsid w:val="070E6208"/>
    <w:rsid w:val="0A476F8B"/>
    <w:rsid w:val="0B366CF1"/>
    <w:rsid w:val="0BF5B113"/>
    <w:rsid w:val="0C5626B0"/>
    <w:rsid w:val="0CEEEC4A"/>
    <w:rsid w:val="0D4EB984"/>
    <w:rsid w:val="10145605"/>
    <w:rsid w:val="1583865F"/>
    <w:rsid w:val="167406AC"/>
    <w:rsid w:val="182A23EB"/>
    <w:rsid w:val="188D3490"/>
    <w:rsid w:val="193C76C0"/>
    <w:rsid w:val="1C9437B2"/>
    <w:rsid w:val="2061AF60"/>
    <w:rsid w:val="22D6579C"/>
    <w:rsid w:val="29580161"/>
    <w:rsid w:val="29B0331E"/>
    <w:rsid w:val="2B412F70"/>
    <w:rsid w:val="2D2522C4"/>
    <w:rsid w:val="307A76F1"/>
    <w:rsid w:val="31176850"/>
    <w:rsid w:val="34836F62"/>
    <w:rsid w:val="366E94FC"/>
    <w:rsid w:val="39B35477"/>
    <w:rsid w:val="3D144823"/>
    <w:rsid w:val="44C974D5"/>
    <w:rsid w:val="45AAC2D9"/>
    <w:rsid w:val="46757F1B"/>
    <w:rsid w:val="4BB2CAD4"/>
    <w:rsid w:val="4C3A437C"/>
    <w:rsid w:val="54F43784"/>
    <w:rsid w:val="57066CAF"/>
    <w:rsid w:val="576A4D49"/>
    <w:rsid w:val="57A461FD"/>
    <w:rsid w:val="58980D31"/>
    <w:rsid w:val="59A450C2"/>
    <w:rsid w:val="5ABC0378"/>
    <w:rsid w:val="613C24BC"/>
    <w:rsid w:val="65110C40"/>
    <w:rsid w:val="6670DBBB"/>
    <w:rsid w:val="69CB2192"/>
    <w:rsid w:val="6A81CB12"/>
    <w:rsid w:val="6A9CFABD"/>
    <w:rsid w:val="70B5C62B"/>
    <w:rsid w:val="74439D82"/>
    <w:rsid w:val="769C80BF"/>
    <w:rsid w:val="773CF7AE"/>
    <w:rsid w:val="77566AD9"/>
    <w:rsid w:val="784381A9"/>
    <w:rsid w:val="7973F145"/>
    <w:rsid w:val="7A14C2E8"/>
    <w:rsid w:val="7AB9DBA8"/>
    <w:rsid w:val="7B9B1EA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54349"/>
  <w15:chartTrackingRefBased/>
  <w15:docId w15:val="{6550BDAF-B620-43C5-9BDC-0CD60D0F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8D"/>
    <w:rPr>
      <w:kern w:val="0"/>
      <w14:ligatures w14:val="none"/>
    </w:rPr>
  </w:style>
  <w:style w:type="paragraph" w:styleId="Ttulo1">
    <w:name w:val="heading 1"/>
    <w:basedOn w:val="Normal"/>
    <w:next w:val="Normal"/>
    <w:link w:val="Ttulo1Car"/>
    <w:uiPriority w:val="9"/>
    <w:qFormat/>
    <w:rsid w:val="00F241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241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2418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2418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2418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241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241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241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241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418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2418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2418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2418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2418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241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241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241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2418D"/>
    <w:rPr>
      <w:rFonts w:eastAsiaTheme="majorEastAsia" w:cstheme="majorBidi"/>
      <w:color w:val="272727" w:themeColor="text1" w:themeTint="D8"/>
    </w:rPr>
  </w:style>
  <w:style w:type="paragraph" w:styleId="Ttulo">
    <w:name w:val="Title"/>
    <w:basedOn w:val="Normal"/>
    <w:next w:val="Normal"/>
    <w:link w:val="TtuloCar"/>
    <w:uiPriority w:val="10"/>
    <w:qFormat/>
    <w:rsid w:val="00F241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241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241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241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2418D"/>
    <w:pPr>
      <w:spacing w:before="160"/>
      <w:jc w:val="center"/>
    </w:pPr>
    <w:rPr>
      <w:i/>
      <w:iCs/>
      <w:color w:val="404040" w:themeColor="text1" w:themeTint="BF"/>
    </w:rPr>
  </w:style>
  <w:style w:type="character" w:customStyle="1" w:styleId="CitaCar">
    <w:name w:val="Cita Car"/>
    <w:basedOn w:val="Fuentedeprrafopredeter"/>
    <w:link w:val="Cita"/>
    <w:uiPriority w:val="29"/>
    <w:rsid w:val="00F2418D"/>
    <w:rPr>
      <w:i/>
      <w:iCs/>
      <w:color w:val="404040" w:themeColor="text1" w:themeTint="BF"/>
    </w:rPr>
  </w:style>
  <w:style w:type="paragraph" w:styleId="Prrafodelista">
    <w:name w:val="List Paragraph"/>
    <w:basedOn w:val="Normal"/>
    <w:uiPriority w:val="1"/>
    <w:qFormat/>
    <w:rsid w:val="00F2418D"/>
    <w:pPr>
      <w:ind w:left="720"/>
      <w:contextualSpacing/>
    </w:pPr>
  </w:style>
  <w:style w:type="character" w:styleId="nfasisintenso">
    <w:name w:val="Intense Emphasis"/>
    <w:basedOn w:val="Fuentedeprrafopredeter"/>
    <w:uiPriority w:val="21"/>
    <w:qFormat/>
    <w:rsid w:val="00F2418D"/>
    <w:rPr>
      <w:i/>
      <w:iCs/>
      <w:color w:val="0F4761" w:themeColor="accent1" w:themeShade="BF"/>
    </w:rPr>
  </w:style>
  <w:style w:type="paragraph" w:styleId="Citadestacada">
    <w:name w:val="Intense Quote"/>
    <w:basedOn w:val="Normal"/>
    <w:next w:val="Normal"/>
    <w:link w:val="CitadestacadaCar"/>
    <w:uiPriority w:val="30"/>
    <w:qFormat/>
    <w:rsid w:val="00F241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2418D"/>
    <w:rPr>
      <w:i/>
      <w:iCs/>
      <w:color w:val="0F4761" w:themeColor="accent1" w:themeShade="BF"/>
    </w:rPr>
  </w:style>
  <w:style w:type="character" w:styleId="Referenciaintensa">
    <w:name w:val="Intense Reference"/>
    <w:basedOn w:val="Fuentedeprrafopredeter"/>
    <w:uiPriority w:val="32"/>
    <w:qFormat/>
    <w:rsid w:val="00F2418D"/>
    <w:rPr>
      <w:b/>
      <w:bCs/>
      <w:smallCaps/>
      <w:color w:val="0F4761" w:themeColor="accent1" w:themeShade="BF"/>
      <w:spacing w:val="5"/>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r Char Cha,Footnote Text Cha"/>
    <w:basedOn w:val="Normal"/>
    <w:link w:val="TextonotapieCar"/>
    <w:unhideWhenUsed/>
    <w:qFormat/>
    <w:rsid w:val="00F2418D"/>
    <w:pPr>
      <w:spacing w:after="0" w:line="240" w:lineRule="auto"/>
    </w:pPr>
    <w:rPr>
      <w:sz w:val="20"/>
      <w:szCs w:val="20"/>
    </w:rPr>
  </w:style>
  <w:style w:type="character" w:customStyle="1" w:styleId="TextonotapieCar">
    <w:name w:val="Texto nota pie Car"/>
    <w:aliases w:val="Footnote Text Char Char Char Char Char Car1,Footnote Text Char Char Char Char Car1,Footnote reference Car1,FA Fu Car1,texto de nota al pie Car1,Footnote Text Char Car1,Footnote Text Char Char Char Char Char Char Char Char Car1"/>
    <w:basedOn w:val="Fuentedeprrafopredeter"/>
    <w:link w:val="Textonotapie"/>
    <w:uiPriority w:val="99"/>
    <w:semiHidden/>
    <w:rsid w:val="00F2418D"/>
    <w:rPr>
      <w:kern w:val="0"/>
      <w:sz w:val="20"/>
      <w:szCs w:val="20"/>
      <w14:ligatures w14:val="none"/>
    </w:rPr>
  </w:style>
  <w:style w:type="character" w:styleId="Refdenotaalpie">
    <w:name w:val="footnote reference"/>
    <w:aliases w:val="Ref. de nota al pie 2,Pie de Página,FC,Texto de nota al pie,referencia nota al pie,Nota de pie,Texto nota al pie,Appel note de bas de page,Footnotes refss,Footnote number,BVI fnr,f,4_G,16 Point,Superscript 6 Point,Texto de nota al pi"/>
    <w:basedOn w:val="Fuentedeprrafopredeter"/>
    <w:link w:val="4GChar"/>
    <w:unhideWhenUsed/>
    <w:qFormat/>
    <w:rsid w:val="00F2418D"/>
    <w:rPr>
      <w:vertAlign w:val="superscript"/>
    </w:rPr>
  </w:style>
  <w:style w:type="character" w:styleId="Hipervnculo">
    <w:name w:val="Hyperlink"/>
    <w:basedOn w:val="Fuentedeprrafopredeter"/>
    <w:uiPriority w:val="99"/>
    <w:unhideWhenUsed/>
    <w:rsid w:val="001E2A8A"/>
    <w:rPr>
      <w:color w:val="467886" w:themeColor="hyperlink"/>
      <w:u w:val="single"/>
    </w:rPr>
  </w:style>
  <w:style w:type="character" w:styleId="Mencinsinresolver">
    <w:name w:val="Unresolved Mention"/>
    <w:basedOn w:val="Fuentedeprrafopredeter"/>
    <w:uiPriority w:val="99"/>
    <w:semiHidden/>
    <w:unhideWhenUsed/>
    <w:rsid w:val="001E2A8A"/>
    <w:rPr>
      <w:color w:val="605E5C"/>
      <w:shd w:val="clear" w:color="auto" w:fill="E1DFDD"/>
    </w:rPr>
  </w:style>
  <w:style w:type="paragraph" w:styleId="NormalWeb">
    <w:name w:val="Normal (Web)"/>
    <w:basedOn w:val="Normal"/>
    <w:uiPriority w:val="99"/>
    <w:unhideWhenUsed/>
    <w:rsid w:val="008B14BB"/>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Refdecomentario">
    <w:name w:val="annotation reference"/>
    <w:basedOn w:val="Fuentedeprrafopredeter"/>
    <w:uiPriority w:val="99"/>
    <w:semiHidden/>
    <w:unhideWhenUsed/>
    <w:rsid w:val="008B14BB"/>
    <w:rPr>
      <w:sz w:val="16"/>
      <w:szCs w:val="16"/>
    </w:rPr>
  </w:style>
  <w:style w:type="paragraph" w:styleId="Textocomentario">
    <w:name w:val="annotation text"/>
    <w:basedOn w:val="Normal"/>
    <w:link w:val="TextocomentarioCar"/>
    <w:uiPriority w:val="99"/>
    <w:unhideWhenUsed/>
    <w:rsid w:val="008B14BB"/>
    <w:pPr>
      <w:spacing w:line="240" w:lineRule="auto"/>
    </w:pPr>
    <w:rPr>
      <w:sz w:val="20"/>
      <w:szCs w:val="20"/>
    </w:rPr>
  </w:style>
  <w:style w:type="character" w:customStyle="1" w:styleId="TextocomentarioCar">
    <w:name w:val="Texto comentario Car"/>
    <w:basedOn w:val="Fuentedeprrafopredeter"/>
    <w:link w:val="Textocomentario"/>
    <w:uiPriority w:val="99"/>
    <w:rsid w:val="008B14BB"/>
    <w:rPr>
      <w:kern w:val="0"/>
      <w:sz w:val="20"/>
      <w:szCs w:val="20"/>
      <w14:ligatures w14:val="none"/>
    </w:rPr>
  </w:style>
  <w:style w:type="paragraph" w:styleId="Textoindependiente">
    <w:name w:val="Body Text"/>
    <w:basedOn w:val="Normal"/>
    <w:link w:val="TextoindependienteCar"/>
    <w:uiPriority w:val="1"/>
    <w:qFormat/>
    <w:rsid w:val="00146EFA"/>
    <w:pPr>
      <w:widowControl w:val="0"/>
      <w:autoSpaceDE w:val="0"/>
      <w:autoSpaceDN w:val="0"/>
      <w:spacing w:after="0" w:line="240" w:lineRule="auto"/>
    </w:pPr>
    <w:rPr>
      <w:rFonts w:ascii="Arial" w:eastAsia="Arial" w:hAnsi="Arial" w:cs="Arial"/>
      <w:sz w:val="21"/>
      <w:szCs w:val="21"/>
      <w:lang w:val="es-ES"/>
    </w:rPr>
  </w:style>
  <w:style w:type="character" w:customStyle="1" w:styleId="TextoindependienteCar">
    <w:name w:val="Texto independiente Car"/>
    <w:basedOn w:val="Fuentedeprrafopredeter"/>
    <w:link w:val="Textoindependiente"/>
    <w:uiPriority w:val="1"/>
    <w:rsid w:val="00146EFA"/>
    <w:rPr>
      <w:rFonts w:ascii="Arial" w:eastAsia="Arial" w:hAnsi="Arial" w:cs="Arial"/>
      <w:kern w:val="0"/>
      <w:sz w:val="21"/>
      <w:szCs w:val="21"/>
      <w:lang w:val="es-ES"/>
      <w14:ligatures w14:val="none"/>
    </w:rPr>
  </w:style>
  <w:style w:type="paragraph" w:styleId="Encabezado">
    <w:name w:val="header"/>
    <w:basedOn w:val="Normal"/>
    <w:link w:val="EncabezadoCar"/>
    <w:uiPriority w:val="99"/>
    <w:unhideWhenUsed/>
    <w:rsid w:val="00EC20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20E1"/>
    <w:rPr>
      <w:kern w:val="0"/>
      <w14:ligatures w14:val="none"/>
    </w:rPr>
  </w:style>
  <w:style w:type="paragraph" w:styleId="Piedepgina">
    <w:name w:val="footer"/>
    <w:basedOn w:val="Normal"/>
    <w:link w:val="PiedepginaCar"/>
    <w:unhideWhenUsed/>
    <w:rsid w:val="00EC20E1"/>
    <w:pPr>
      <w:tabs>
        <w:tab w:val="center" w:pos="4419"/>
        <w:tab w:val="right" w:pos="8838"/>
      </w:tabs>
      <w:spacing w:after="0" w:line="240" w:lineRule="auto"/>
    </w:pPr>
  </w:style>
  <w:style w:type="character" w:customStyle="1" w:styleId="PiedepginaCar">
    <w:name w:val="Pie de página Car"/>
    <w:basedOn w:val="Fuentedeprrafopredeter"/>
    <w:link w:val="Piedepgina"/>
    <w:rsid w:val="00EC20E1"/>
    <w:rPr>
      <w:kern w:val="0"/>
      <w14:ligatures w14:val="non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merodepgina">
    <w:name w:val="page number"/>
    <w:basedOn w:val="Fuentedeprrafopredeter"/>
    <w:uiPriority w:val="99"/>
    <w:semiHidden/>
    <w:unhideWhenUsed/>
    <w:rsid w:val="002B329B"/>
  </w:style>
  <w:style w:type="paragraph" w:customStyle="1" w:styleId="Default">
    <w:name w:val="Default"/>
    <w:rsid w:val="0083300A"/>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TextonotapieCar1">
    <w:name w:val="Texto nota pie Car1"/>
    <w:aliases w:val="Footnote Text Char Char Char Char Char Car,Footnote Text Char Char Char Char Car,Footnote reference Car,FA Fu Car,texto de nota al pie Car,Footnote Text Char Car,Footnote Text Char Char Char Char Char Char Char Char Car"/>
    <w:qFormat/>
    <w:rsid w:val="00A86034"/>
    <w:rPr>
      <w:rFonts w:ascii="Times New Roman" w:eastAsia="Times New Roman" w:hAnsi="Times New Roman" w:cs="Times New Roman"/>
      <w:sz w:val="20"/>
      <w:szCs w:val="20"/>
      <w:lang w:val="es-ES"/>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qFormat/>
    <w:rsid w:val="00A86034"/>
    <w:pPr>
      <w:spacing w:after="0" w:line="240" w:lineRule="auto"/>
      <w:jc w:val="both"/>
    </w:pPr>
    <w:rPr>
      <w:kern w:val="2"/>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02348">
      <w:bodyDiv w:val="1"/>
      <w:marLeft w:val="0"/>
      <w:marRight w:val="0"/>
      <w:marTop w:val="0"/>
      <w:marBottom w:val="0"/>
      <w:divBdr>
        <w:top w:val="none" w:sz="0" w:space="0" w:color="auto"/>
        <w:left w:val="none" w:sz="0" w:space="0" w:color="auto"/>
        <w:bottom w:val="none" w:sz="0" w:space="0" w:color="auto"/>
        <w:right w:val="none" w:sz="0" w:space="0" w:color="auto"/>
      </w:divBdr>
    </w:div>
    <w:div w:id="366108864">
      <w:bodyDiv w:val="1"/>
      <w:marLeft w:val="0"/>
      <w:marRight w:val="0"/>
      <w:marTop w:val="0"/>
      <w:marBottom w:val="0"/>
      <w:divBdr>
        <w:top w:val="none" w:sz="0" w:space="0" w:color="auto"/>
        <w:left w:val="none" w:sz="0" w:space="0" w:color="auto"/>
        <w:bottom w:val="none" w:sz="0" w:space="0" w:color="auto"/>
        <w:right w:val="none" w:sz="0" w:space="0" w:color="auto"/>
      </w:divBdr>
    </w:div>
    <w:div w:id="599412759">
      <w:bodyDiv w:val="1"/>
      <w:marLeft w:val="0"/>
      <w:marRight w:val="0"/>
      <w:marTop w:val="0"/>
      <w:marBottom w:val="0"/>
      <w:divBdr>
        <w:top w:val="none" w:sz="0" w:space="0" w:color="auto"/>
        <w:left w:val="none" w:sz="0" w:space="0" w:color="auto"/>
        <w:bottom w:val="none" w:sz="0" w:space="0" w:color="auto"/>
        <w:right w:val="none" w:sz="0" w:space="0" w:color="auto"/>
      </w:divBdr>
    </w:div>
    <w:div w:id="794102523">
      <w:bodyDiv w:val="1"/>
      <w:marLeft w:val="0"/>
      <w:marRight w:val="0"/>
      <w:marTop w:val="0"/>
      <w:marBottom w:val="0"/>
      <w:divBdr>
        <w:top w:val="none" w:sz="0" w:space="0" w:color="auto"/>
        <w:left w:val="none" w:sz="0" w:space="0" w:color="auto"/>
        <w:bottom w:val="none" w:sz="0" w:space="0" w:color="auto"/>
        <w:right w:val="none" w:sz="0" w:space="0" w:color="auto"/>
      </w:divBdr>
    </w:div>
    <w:div w:id="877545446">
      <w:bodyDiv w:val="1"/>
      <w:marLeft w:val="0"/>
      <w:marRight w:val="0"/>
      <w:marTop w:val="0"/>
      <w:marBottom w:val="0"/>
      <w:divBdr>
        <w:top w:val="none" w:sz="0" w:space="0" w:color="auto"/>
        <w:left w:val="none" w:sz="0" w:space="0" w:color="auto"/>
        <w:bottom w:val="none" w:sz="0" w:space="0" w:color="auto"/>
        <w:right w:val="none" w:sz="0" w:space="0" w:color="auto"/>
      </w:divBdr>
    </w:div>
    <w:div w:id="1015763915">
      <w:bodyDiv w:val="1"/>
      <w:marLeft w:val="0"/>
      <w:marRight w:val="0"/>
      <w:marTop w:val="0"/>
      <w:marBottom w:val="0"/>
      <w:divBdr>
        <w:top w:val="none" w:sz="0" w:space="0" w:color="auto"/>
        <w:left w:val="none" w:sz="0" w:space="0" w:color="auto"/>
        <w:bottom w:val="none" w:sz="0" w:space="0" w:color="auto"/>
        <w:right w:val="none" w:sz="0" w:space="0" w:color="auto"/>
      </w:divBdr>
    </w:div>
    <w:div w:id="1552882186">
      <w:bodyDiv w:val="1"/>
      <w:marLeft w:val="0"/>
      <w:marRight w:val="0"/>
      <w:marTop w:val="0"/>
      <w:marBottom w:val="0"/>
      <w:divBdr>
        <w:top w:val="none" w:sz="0" w:space="0" w:color="auto"/>
        <w:left w:val="none" w:sz="0" w:space="0" w:color="auto"/>
        <w:bottom w:val="none" w:sz="0" w:space="0" w:color="auto"/>
        <w:right w:val="none" w:sz="0" w:space="0" w:color="auto"/>
      </w:divBdr>
    </w:div>
    <w:div w:id="1659965626">
      <w:bodyDiv w:val="1"/>
      <w:marLeft w:val="0"/>
      <w:marRight w:val="0"/>
      <w:marTop w:val="0"/>
      <w:marBottom w:val="0"/>
      <w:divBdr>
        <w:top w:val="none" w:sz="0" w:space="0" w:color="auto"/>
        <w:left w:val="none" w:sz="0" w:space="0" w:color="auto"/>
        <w:bottom w:val="none" w:sz="0" w:space="0" w:color="auto"/>
        <w:right w:val="none" w:sz="0" w:space="0" w:color="auto"/>
      </w:divBdr>
    </w:div>
    <w:div w:id="2126383817">
      <w:bodyDiv w:val="1"/>
      <w:marLeft w:val="0"/>
      <w:marRight w:val="0"/>
      <w:marTop w:val="0"/>
      <w:marBottom w:val="0"/>
      <w:divBdr>
        <w:top w:val="none" w:sz="0" w:space="0" w:color="auto"/>
        <w:left w:val="none" w:sz="0" w:space="0" w:color="auto"/>
        <w:bottom w:val="none" w:sz="0" w:space="0" w:color="auto"/>
        <w:right w:val="none" w:sz="0" w:space="0" w:color="auto"/>
      </w:divBdr>
    </w:div>
    <w:div w:id="213740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4D6C-73F7-45F8-A84B-94E9CC36F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1404</Words>
  <Characters>7723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Juli@n Gonzalez</dc:creator>
  <cp:keywords/>
  <dc:description/>
  <cp:lastModifiedBy>Juli@n Gonzalez</cp:lastModifiedBy>
  <cp:revision>3</cp:revision>
  <dcterms:created xsi:type="dcterms:W3CDTF">2025-05-05T01:21:00Z</dcterms:created>
  <dcterms:modified xsi:type="dcterms:W3CDTF">2025-05-05T01:41:00Z</dcterms:modified>
</cp:coreProperties>
</file>